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657B" w14:textId="301BD977" w:rsidR="002E5E94" w:rsidRDefault="002E5E94" w:rsidP="002E5E94">
      <w:pPr>
        <w:jc w:val="both"/>
        <w:rPr>
          <w:rFonts w:ascii="Times New Roman" w:eastAsia="Times New Roman" w:hAnsi="Times New Roman" w:cs="Times New Roman"/>
          <w:b/>
          <w:noProof w:val="0"/>
          <w:sz w:val="28"/>
          <w:szCs w:val="24"/>
          <w:lang w:eastAsia="el-GR"/>
        </w:rPr>
      </w:pPr>
      <w:r>
        <w:rPr>
          <w:rFonts w:ascii="Times New Roman" w:hAnsi="Times New Roman" w:cs="Times New Roman"/>
          <w:b/>
          <w:bCs/>
          <w:sz w:val="24"/>
          <w:szCs w:val="24"/>
        </w:rPr>
        <w:t xml:space="preserve">ΘΕΜΑ </w:t>
      </w:r>
      <w:r w:rsidRPr="00ED21F1">
        <w:rPr>
          <w:rFonts w:ascii="Times New Roman" w:hAnsi="Times New Roman" w:cs="Times New Roman"/>
          <w:b/>
          <w:bCs/>
          <w:sz w:val="24"/>
          <w:szCs w:val="24"/>
        </w:rPr>
        <w:t xml:space="preserve">: </w:t>
      </w:r>
      <w:r w:rsidRPr="002E5E94">
        <w:rPr>
          <w:rFonts w:ascii="Times New Roman" w:eastAsia="Times New Roman" w:hAnsi="Times New Roman" w:cs="Times New Roman"/>
          <w:noProof w:val="0"/>
          <w:color w:val="333333"/>
          <w:sz w:val="24"/>
          <w:szCs w:val="24"/>
          <w:lang w:eastAsia="el-GR"/>
        </w:rPr>
        <w:t>Το ποσοστό 10% περί Απευθείας Αναθέσεων Έργων – Μελετώ</w:t>
      </w:r>
      <w:r>
        <w:rPr>
          <w:rFonts w:ascii="Times New Roman" w:eastAsia="Times New Roman" w:hAnsi="Times New Roman" w:cs="Times New Roman"/>
          <w:noProof w:val="0"/>
          <w:color w:val="333333"/>
          <w:sz w:val="24"/>
          <w:szCs w:val="24"/>
          <w:lang w:val="en-US" w:eastAsia="el-GR"/>
        </w:rPr>
        <w:t>n</w:t>
      </w:r>
      <w:r w:rsidRPr="002E5E94">
        <w:rPr>
          <w:rFonts w:ascii="Times New Roman" w:eastAsia="Times New Roman" w:hAnsi="Times New Roman" w:cs="Times New Roman"/>
          <w:noProof w:val="0"/>
          <w:color w:val="333333"/>
          <w:sz w:val="24"/>
          <w:szCs w:val="24"/>
          <w:lang w:eastAsia="el-GR"/>
        </w:rPr>
        <w:t xml:space="preserve"> </w:t>
      </w:r>
      <w:r w:rsidRPr="005F6D58">
        <w:rPr>
          <w:rFonts w:ascii="Times New Roman" w:hAnsi="Times New Roman" w:cs="Times New Roman"/>
          <w:vanish/>
          <w:sz w:val="24"/>
          <w:szCs w:val="24"/>
        </w:rPr>
        <w:t>Αρχή φόρμας</w:t>
      </w:r>
    </w:p>
    <w:p w14:paraId="0BFEB67B" w14:textId="77777777" w:rsidR="002E5E94" w:rsidRPr="005F6D58" w:rsidRDefault="002E5E94" w:rsidP="002E5E94">
      <w:pPr>
        <w:jc w:val="both"/>
        <w:rPr>
          <w:rFonts w:ascii="Times New Roman" w:hAnsi="Times New Roman" w:cs="Times New Roman"/>
          <w:vanish/>
          <w:sz w:val="24"/>
          <w:szCs w:val="24"/>
        </w:rPr>
      </w:pPr>
    </w:p>
    <w:p w14:paraId="71FFF27A" w14:textId="77777777" w:rsidR="002E5E94" w:rsidRPr="005F6D58" w:rsidRDefault="002E5E94" w:rsidP="002E5E94">
      <w:pPr>
        <w:jc w:val="both"/>
        <w:rPr>
          <w:rFonts w:ascii="Times New Roman" w:hAnsi="Times New Roman" w:cs="Times New Roman"/>
          <w:sz w:val="24"/>
          <w:szCs w:val="24"/>
        </w:rPr>
      </w:pPr>
      <w:r w:rsidRPr="005F6D58">
        <w:rPr>
          <w:rFonts w:ascii="Times New Roman" w:hAnsi="Times New Roman" w:cs="Times New Roman"/>
          <w:sz w:val="24"/>
          <w:szCs w:val="24"/>
        </w:rPr>
        <w:t xml:space="preserve">Ημ/νία υποβολής </w:t>
      </w:r>
      <w:r w:rsidRPr="00ED21F1">
        <w:rPr>
          <w:rFonts w:ascii="Times New Roman" w:hAnsi="Times New Roman" w:cs="Times New Roman"/>
          <w:b/>
          <w:i/>
          <w:sz w:val="24"/>
          <w:szCs w:val="24"/>
        </w:rPr>
        <w:t>18/06/2021</w:t>
      </w:r>
      <w:r w:rsidRPr="00ED21F1">
        <w:rPr>
          <w:rFonts w:ascii="Times New Roman" w:hAnsi="Times New Roman" w:cs="Times New Roman"/>
          <w:sz w:val="24"/>
          <w:szCs w:val="24"/>
        </w:rPr>
        <w:t xml:space="preserve"> </w:t>
      </w:r>
    </w:p>
    <w:p w14:paraId="5AC29C6E" w14:textId="77777777" w:rsidR="002E5E94" w:rsidRPr="000104EF" w:rsidRDefault="002E5E94" w:rsidP="002E5E94">
      <w:pPr>
        <w:spacing w:after="0" w:line="240" w:lineRule="auto"/>
        <w:jc w:val="both"/>
        <w:rPr>
          <w:rFonts w:ascii="Times New Roman" w:eastAsia="Times New Roman" w:hAnsi="Times New Roman" w:cs="Times New Roman"/>
          <w:b/>
          <w:bCs/>
          <w:noProof w:val="0"/>
          <w:color w:val="333333"/>
          <w:sz w:val="24"/>
          <w:szCs w:val="24"/>
          <w:lang w:eastAsia="el-GR"/>
        </w:rPr>
      </w:pPr>
      <w:r w:rsidRPr="000104EF">
        <w:rPr>
          <w:rFonts w:ascii="Times New Roman" w:eastAsia="Times New Roman" w:hAnsi="Times New Roman" w:cs="Times New Roman"/>
          <w:b/>
          <w:bCs/>
          <w:noProof w:val="0"/>
          <w:color w:val="333333"/>
          <w:sz w:val="24"/>
          <w:szCs w:val="24"/>
          <w:highlight w:val="yellow"/>
          <w:lang w:eastAsia="el-GR"/>
        </w:rPr>
        <w:t>Ερώτηση 1:</w:t>
      </w:r>
      <w:r w:rsidRPr="000104EF">
        <w:rPr>
          <w:rFonts w:ascii="Times New Roman" w:eastAsia="Times New Roman" w:hAnsi="Times New Roman" w:cs="Times New Roman"/>
          <w:b/>
          <w:bCs/>
          <w:noProof w:val="0"/>
          <w:color w:val="333333"/>
          <w:sz w:val="24"/>
          <w:szCs w:val="24"/>
          <w:lang w:eastAsia="el-GR"/>
        </w:rPr>
        <w:t xml:space="preserve"> </w:t>
      </w:r>
    </w:p>
    <w:p w14:paraId="736A3CFA" w14:textId="5D71E2E4" w:rsidR="00C32E79" w:rsidRPr="000104EF" w:rsidRDefault="00C32E79" w:rsidP="000104EF">
      <w:pPr>
        <w:spacing w:line="240" w:lineRule="auto"/>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noProof w:val="0"/>
          <w:color w:val="333333"/>
          <w:sz w:val="24"/>
          <w:szCs w:val="24"/>
          <w:lang w:eastAsia="el-GR"/>
        </w:rPr>
        <w:t xml:space="preserve">Το ποσοστό 10% για απευθείας ανάθεση μελετών, (σύμφωνα με τις διατάξεις της παρ. 5 του άρθρου 50 ν. 4782/2021, με το οποίο αντικαταστάθηκε το Άρθρο 118 ν. 4412/2016), υπολογίζεται επί του συνολικού ποσού που είναι αναγεγραμμένο στον προϋπολογισμό για μία ή περισσότερες μελέτες σε ετήσια βάση ή για κάθε μία μελέτη που ανατίθεται κάθε φορά; Για παράδειγμα: Στον προϋπολογισμό του Δήμου </w:t>
      </w:r>
      <w:r w:rsidR="00EB7B13" w:rsidRPr="000104EF">
        <w:rPr>
          <w:rFonts w:ascii="Times New Roman" w:eastAsia="Times New Roman" w:hAnsi="Times New Roman" w:cs="Times New Roman"/>
          <w:noProof w:val="0"/>
          <w:color w:val="333333"/>
          <w:sz w:val="24"/>
          <w:szCs w:val="24"/>
          <w:lang w:eastAsia="el-GR"/>
        </w:rPr>
        <w:t>….</w:t>
      </w:r>
      <w:r w:rsidRPr="000104EF">
        <w:rPr>
          <w:rFonts w:ascii="Times New Roman" w:eastAsia="Times New Roman" w:hAnsi="Times New Roman" w:cs="Times New Roman"/>
          <w:noProof w:val="0"/>
          <w:color w:val="333333"/>
          <w:sz w:val="24"/>
          <w:szCs w:val="24"/>
          <w:lang w:eastAsia="el-GR"/>
        </w:rPr>
        <w:t xml:space="preserve"> έτους 2022 συμπεριλαμβάνεται ποσό 15</w:t>
      </w:r>
      <w:r w:rsidR="00EB7B13" w:rsidRPr="000104EF">
        <w:rPr>
          <w:rFonts w:ascii="Times New Roman" w:eastAsia="Times New Roman" w:hAnsi="Times New Roman" w:cs="Times New Roman"/>
          <w:noProof w:val="0"/>
          <w:color w:val="333333"/>
          <w:sz w:val="24"/>
          <w:szCs w:val="24"/>
          <w:lang w:eastAsia="el-GR"/>
        </w:rPr>
        <w:t>0</w:t>
      </w:r>
      <w:r w:rsidRPr="000104EF">
        <w:rPr>
          <w:rFonts w:ascii="Times New Roman" w:eastAsia="Times New Roman" w:hAnsi="Times New Roman" w:cs="Times New Roman"/>
          <w:noProof w:val="0"/>
          <w:color w:val="333333"/>
          <w:sz w:val="24"/>
          <w:szCs w:val="24"/>
          <w:lang w:eastAsia="el-GR"/>
        </w:rPr>
        <w:t>.000,00 € για μελέτες. Θα πρέπει το σύνολο των μελετών για έργα που θα ανατεθούν με απευθείας ανάθεση σε ετήσια βάση να μην ξεπεράσει τις 15</w:t>
      </w:r>
      <w:r w:rsidR="00EB7B13" w:rsidRPr="000104EF">
        <w:rPr>
          <w:rFonts w:ascii="Times New Roman" w:eastAsia="Times New Roman" w:hAnsi="Times New Roman" w:cs="Times New Roman"/>
          <w:noProof w:val="0"/>
          <w:color w:val="333333"/>
          <w:sz w:val="24"/>
          <w:szCs w:val="24"/>
          <w:lang w:eastAsia="el-GR"/>
        </w:rPr>
        <w:t>.0</w:t>
      </w:r>
      <w:r w:rsidRPr="000104EF">
        <w:rPr>
          <w:rFonts w:ascii="Times New Roman" w:eastAsia="Times New Roman" w:hAnsi="Times New Roman" w:cs="Times New Roman"/>
          <w:noProof w:val="0"/>
          <w:color w:val="333333"/>
          <w:sz w:val="24"/>
          <w:szCs w:val="24"/>
          <w:lang w:eastAsia="el-GR"/>
        </w:rPr>
        <w:t xml:space="preserve">00,00 €; Ή μήπως το ποσό της ανάθεσης κάθε μελέτης θα πρέπει να είναι ίσο ή μικρότερο από τα </w:t>
      </w:r>
      <w:r w:rsidR="00EB7B13" w:rsidRPr="000104EF">
        <w:rPr>
          <w:rFonts w:ascii="Times New Roman" w:eastAsia="Times New Roman" w:hAnsi="Times New Roman" w:cs="Times New Roman"/>
          <w:noProof w:val="0"/>
          <w:color w:val="333333"/>
          <w:sz w:val="24"/>
          <w:szCs w:val="24"/>
          <w:lang w:eastAsia="el-GR"/>
        </w:rPr>
        <w:t xml:space="preserve">15.000,00 </w:t>
      </w:r>
      <w:r w:rsidRPr="000104EF">
        <w:rPr>
          <w:rFonts w:ascii="Times New Roman" w:eastAsia="Times New Roman" w:hAnsi="Times New Roman" w:cs="Times New Roman"/>
          <w:noProof w:val="0"/>
          <w:color w:val="333333"/>
          <w:sz w:val="24"/>
          <w:szCs w:val="24"/>
          <w:lang w:eastAsia="el-GR"/>
        </w:rPr>
        <w:t>€ και ανεξαρτήτως του πόσες μελέτες θα ανατεθούν μ’ αυτόν τον τρόπο σταδιακά κατ’ έτος, το συνολικό ποσό των οποίων δυνητικά θα μπορούσε να ισούται ακόμη και με το σύνολο του ποσού που προβλέπεται στον προϋπολογισμό γι’ αυτόν τον σκοπό;</w:t>
      </w:r>
    </w:p>
    <w:p w14:paraId="4DB239BB" w14:textId="176F203A" w:rsidR="00C32E79" w:rsidRPr="000104EF" w:rsidRDefault="00C32E79" w:rsidP="000104EF">
      <w:pPr>
        <w:pStyle w:val="Web"/>
        <w:jc w:val="both"/>
        <w:rPr>
          <w:b/>
          <w:bCs/>
          <w:color w:val="333333"/>
        </w:rPr>
      </w:pPr>
      <w:r w:rsidRPr="000104EF">
        <w:rPr>
          <w:b/>
          <w:bCs/>
          <w:color w:val="333333"/>
        </w:rPr>
        <w:t>Απάντηση</w:t>
      </w:r>
      <w:r w:rsidR="00EB7B13" w:rsidRPr="000104EF">
        <w:rPr>
          <w:b/>
          <w:bCs/>
          <w:color w:val="333333"/>
        </w:rPr>
        <w:t>:</w:t>
      </w:r>
    </w:p>
    <w:p w14:paraId="495D9EF6" w14:textId="77777777" w:rsidR="00C32E79" w:rsidRPr="000104EF" w:rsidRDefault="00C32E79" w:rsidP="000104EF">
      <w:pPr>
        <w:pStyle w:val="Web"/>
        <w:jc w:val="both"/>
        <w:rPr>
          <w:color w:val="333333"/>
        </w:rPr>
      </w:pPr>
      <w:r w:rsidRPr="000104EF">
        <w:rPr>
          <w:color w:val="333333"/>
        </w:rPr>
        <w:t>Σύμφωνα με την ρητή πρόβλεψη της παρ. 5, σύμφωνα με το άρθρο 118, , </w:t>
      </w:r>
      <w:r w:rsidRPr="000104EF">
        <w:rPr>
          <w:rStyle w:val="a3"/>
          <w:color w:val="333333"/>
        </w:rPr>
        <w:t>μπορούν να ανατεθούν από κάθε αναθέτουσα αρχή κατ` έτος, μία ή περισσότερες συμβάσεις, συνολικού προϋπολογισμού μέχρι ποσοστού δέκα τοις εκατό (10%) των πιστώσεων της αναθέτουσας αρχής κατ` έτος, για ανάθεση συμβάσεων έργων, μελετών και παροχής τεχνικών και λοιπών επιστημονικών υπηρεσιών, αντίστοιχα. Συμβάσεις που συνάπτονται κατά παράβαση του ορίου του προηγούμενου εδαφίου είναι άκυρες και δεν παράγουν έννομα αποτελέσματα.</w:t>
      </w:r>
    </w:p>
    <w:p w14:paraId="27A83004" w14:textId="4A83E455" w:rsidR="00C32E79" w:rsidRPr="000104EF" w:rsidRDefault="00C32E79" w:rsidP="000104EF">
      <w:pPr>
        <w:pStyle w:val="Web"/>
        <w:jc w:val="both"/>
        <w:rPr>
          <w:color w:val="333333"/>
        </w:rPr>
      </w:pPr>
      <w:r w:rsidRPr="000104EF">
        <w:rPr>
          <w:color w:val="333333"/>
        </w:rPr>
        <w:t>Συνεπώς, σαφέστατα στην περίπτωσή σας, θα πρέπει το σύνολο των μελετών για έργα που θα ανατεθούν με απευθείας ανάθεση σε ετήσια βάση να μην ξεπεράσει τις 15</w:t>
      </w:r>
      <w:r w:rsidR="00EB7B13" w:rsidRPr="000104EF">
        <w:rPr>
          <w:color w:val="333333"/>
        </w:rPr>
        <w:t>.0</w:t>
      </w:r>
      <w:r w:rsidRPr="000104EF">
        <w:rPr>
          <w:color w:val="333333"/>
        </w:rPr>
        <w:t>00,00 €, (δηλ. το ποσό που αντιστοιχεί στο προαναφερόμενο ποσοστό 10%) και, το υπόλοιπο ποσό των 1</w:t>
      </w:r>
      <w:r w:rsidR="00EB7B13" w:rsidRPr="000104EF">
        <w:rPr>
          <w:color w:val="333333"/>
        </w:rPr>
        <w:t>3</w:t>
      </w:r>
      <w:r w:rsidRPr="000104EF">
        <w:rPr>
          <w:color w:val="333333"/>
        </w:rPr>
        <w:t>5.</w:t>
      </w:r>
      <w:r w:rsidR="00EB7B13" w:rsidRPr="000104EF">
        <w:rPr>
          <w:color w:val="333333"/>
        </w:rPr>
        <w:t>0</w:t>
      </w:r>
      <w:r w:rsidRPr="000104EF">
        <w:rPr>
          <w:color w:val="333333"/>
        </w:rPr>
        <w:t>00,00 € να ανατεθεί κατόπιν διαγωνιστικής διαδικασίας.</w:t>
      </w:r>
    </w:p>
    <w:p w14:paraId="7A46CB76" w14:textId="40DB761B" w:rsidR="00C32E79" w:rsidRPr="000104EF" w:rsidRDefault="00C32E79" w:rsidP="000104EF">
      <w:pPr>
        <w:pStyle w:val="Web"/>
        <w:jc w:val="both"/>
        <w:rPr>
          <w:color w:val="333333"/>
        </w:rPr>
      </w:pPr>
      <w:r w:rsidRPr="000104EF">
        <w:rPr>
          <w:color w:val="333333"/>
        </w:rPr>
        <w:t xml:space="preserve">Δεδομένου όμως ότι κατά τη διάρκεια του έτους τροποποιείται το Τεχνικό Πρόγραμμα του Δήμου αλλά και εκδίδονται τροποποιητικές ΣΑ από τη ΔΔΕ κλπ. είναι λογικό ο υπολογισμός του ποσοστού του 10% να μην είναι σταθερό κατά τη διάρκεια του έτους και να συναρτάται από το τεχνικό πρόγραμμα όπως ισχύει. </w:t>
      </w:r>
    </w:p>
    <w:p w14:paraId="08F86F0C" w14:textId="15D9E88D" w:rsidR="00C32E79" w:rsidRPr="000104EF" w:rsidRDefault="00C32E79" w:rsidP="000104EF">
      <w:pPr>
        <w:pBdr>
          <w:top w:val="single" w:sz="6" w:space="1" w:color="auto"/>
        </w:pBdr>
        <w:spacing w:after="0" w:line="240" w:lineRule="auto"/>
        <w:jc w:val="both"/>
        <w:rPr>
          <w:rFonts w:ascii="Times New Roman" w:eastAsia="Times New Roman" w:hAnsi="Times New Roman" w:cs="Times New Roman"/>
          <w:noProof w:val="0"/>
          <w:sz w:val="24"/>
          <w:szCs w:val="24"/>
          <w:lang w:eastAsia="el-GR"/>
        </w:rPr>
      </w:pPr>
      <w:r w:rsidRPr="000104EF">
        <w:rPr>
          <w:rFonts w:ascii="Times New Roman" w:eastAsia="Times New Roman" w:hAnsi="Times New Roman" w:cs="Times New Roman"/>
          <w:noProof w:val="0"/>
          <w:vanish/>
          <w:sz w:val="24"/>
          <w:szCs w:val="24"/>
          <w:lang w:eastAsia="el-GR"/>
        </w:rPr>
        <w:t>Τέλος φόρμας</w:t>
      </w:r>
    </w:p>
    <w:p w14:paraId="73B6F81D" w14:textId="7C40E93A" w:rsidR="00153A87" w:rsidRPr="000104EF" w:rsidRDefault="00153A87" w:rsidP="000104EF">
      <w:pPr>
        <w:spacing w:after="0" w:line="240" w:lineRule="auto"/>
        <w:jc w:val="both"/>
        <w:rPr>
          <w:rFonts w:ascii="Times New Roman" w:eastAsia="Times New Roman" w:hAnsi="Times New Roman" w:cs="Times New Roman"/>
          <w:b/>
          <w:bCs/>
          <w:noProof w:val="0"/>
          <w:color w:val="333333"/>
          <w:sz w:val="24"/>
          <w:szCs w:val="24"/>
          <w:highlight w:val="yellow"/>
          <w:lang w:eastAsia="el-GR"/>
        </w:rPr>
      </w:pPr>
      <w:bookmarkStart w:id="0" w:name="_Hlk116063913"/>
      <w:r w:rsidRPr="000104EF">
        <w:rPr>
          <w:rFonts w:ascii="Times New Roman" w:eastAsia="Times New Roman" w:hAnsi="Times New Roman" w:cs="Times New Roman"/>
          <w:b/>
          <w:bCs/>
          <w:noProof w:val="0"/>
          <w:color w:val="333333"/>
          <w:sz w:val="24"/>
          <w:szCs w:val="24"/>
          <w:highlight w:val="yellow"/>
          <w:lang w:eastAsia="el-GR"/>
        </w:rPr>
        <w:t xml:space="preserve">Ερώτηση 2: </w:t>
      </w:r>
    </w:p>
    <w:bookmarkEnd w:id="0"/>
    <w:p w14:paraId="7C432CDC" w14:textId="77777777" w:rsidR="00153A87" w:rsidRPr="000104EF" w:rsidRDefault="00153A87" w:rsidP="000104EF">
      <w:pPr>
        <w:spacing w:line="240" w:lineRule="auto"/>
        <w:jc w:val="both"/>
        <w:rPr>
          <w:rFonts w:ascii="Times New Roman" w:eastAsia="Times New Roman" w:hAnsi="Times New Roman" w:cs="Times New Roman"/>
          <w:noProof w:val="0"/>
          <w:color w:val="333333"/>
          <w:sz w:val="24"/>
          <w:szCs w:val="24"/>
          <w:lang w:eastAsia="el-GR"/>
        </w:rPr>
      </w:pPr>
    </w:p>
    <w:p w14:paraId="15531480" w14:textId="66774E53" w:rsidR="00153A87" w:rsidRPr="000104EF" w:rsidRDefault="00153A87" w:rsidP="000104EF">
      <w:pPr>
        <w:spacing w:line="240" w:lineRule="auto"/>
        <w:jc w:val="both"/>
        <w:rPr>
          <w:rFonts w:ascii="Times New Roman" w:hAnsi="Times New Roman" w:cs="Times New Roman"/>
          <w:color w:val="333333"/>
          <w:sz w:val="24"/>
          <w:szCs w:val="24"/>
          <w:shd w:val="clear" w:color="auto" w:fill="FFFFFF"/>
        </w:rPr>
      </w:pPr>
      <w:r w:rsidRPr="000104EF">
        <w:rPr>
          <w:rFonts w:ascii="Times New Roman" w:eastAsia="Times New Roman" w:hAnsi="Times New Roman" w:cs="Times New Roman"/>
          <w:noProof w:val="0"/>
          <w:color w:val="333333"/>
          <w:sz w:val="24"/>
          <w:szCs w:val="24"/>
          <w:lang w:eastAsia="el-GR"/>
        </w:rPr>
        <w:t>Πόσα έργα με συναφές μεταξύ τους αντικείμενο (π.χ. Υδραυλικά. οδοποιίας, κτιριακά κλπ.) προϋπολογισμού 60.000,00€ πλην Φ.Π.Α το καθένα μπορούν να ανατεθούν με την διαδικασία της απευθείας ανάθεσης; Δεν τίθεται θέμα κατάτμησης;</w:t>
      </w:r>
    </w:p>
    <w:p w14:paraId="2F462F45" w14:textId="156CBCE9" w:rsidR="00153A87" w:rsidRPr="000104EF" w:rsidRDefault="00153A87" w:rsidP="000104EF">
      <w:pPr>
        <w:spacing w:line="240" w:lineRule="auto"/>
        <w:jc w:val="both"/>
        <w:rPr>
          <w:rFonts w:ascii="Times New Roman" w:hAnsi="Times New Roman" w:cs="Times New Roman"/>
          <w:b/>
          <w:bCs/>
          <w:color w:val="333333"/>
          <w:sz w:val="24"/>
          <w:szCs w:val="24"/>
          <w:shd w:val="clear" w:color="auto" w:fill="FFFFFF"/>
        </w:rPr>
      </w:pPr>
      <w:bookmarkStart w:id="1" w:name="_Hlk116063165"/>
      <w:r w:rsidRPr="000104EF">
        <w:rPr>
          <w:rFonts w:ascii="Times New Roman" w:hAnsi="Times New Roman" w:cs="Times New Roman"/>
          <w:b/>
          <w:bCs/>
          <w:color w:val="333333"/>
          <w:sz w:val="24"/>
          <w:szCs w:val="24"/>
          <w:shd w:val="clear" w:color="auto" w:fill="FFFFFF"/>
        </w:rPr>
        <w:t>Απάντηση</w:t>
      </w:r>
      <w:r w:rsidR="00A1423A" w:rsidRPr="000104EF">
        <w:rPr>
          <w:rStyle w:val="a4"/>
          <w:rFonts w:ascii="Times New Roman" w:hAnsi="Times New Roman" w:cs="Times New Roman"/>
          <w:color w:val="333333"/>
          <w:sz w:val="24"/>
          <w:szCs w:val="24"/>
        </w:rPr>
        <w:t>:</w:t>
      </w:r>
    </w:p>
    <w:bookmarkEnd w:id="1"/>
    <w:p w14:paraId="32902975" w14:textId="77777777" w:rsidR="00153A87" w:rsidRPr="000104EF" w:rsidRDefault="00153A87" w:rsidP="000104EF">
      <w:pPr>
        <w:spacing w:line="240" w:lineRule="auto"/>
        <w:jc w:val="both"/>
        <w:rPr>
          <w:rFonts w:ascii="Times New Roman" w:eastAsia="Times New Roman" w:hAnsi="Times New Roman" w:cs="Times New Roman"/>
          <w:noProof w:val="0"/>
          <w:vanish/>
          <w:sz w:val="24"/>
          <w:szCs w:val="24"/>
          <w:lang w:eastAsia="el-GR"/>
        </w:rPr>
      </w:pPr>
      <w:r w:rsidRPr="000104EF">
        <w:rPr>
          <w:rFonts w:ascii="Times New Roman" w:hAnsi="Times New Roman" w:cs="Times New Roman"/>
          <w:color w:val="333333"/>
          <w:sz w:val="24"/>
          <w:szCs w:val="24"/>
          <w:shd w:val="clear" w:color="auto" w:fill="FFFFFF"/>
        </w:rPr>
        <w:t>Σύμφωνα με την παρ. 1 του Άρθρου 118 («Απευθείας ανάθεση») «</w:t>
      </w:r>
      <w:r w:rsidRPr="000104EF">
        <w:rPr>
          <w:rStyle w:val="a3"/>
          <w:rFonts w:ascii="Times New Roman" w:hAnsi="Times New Roman" w:cs="Times New Roman"/>
          <w:color w:val="333333"/>
          <w:sz w:val="24"/>
          <w:szCs w:val="24"/>
          <w:shd w:val="clear" w:color="auto" w:fill="FFFFFF"/>
        </w:rPr>
        <w:t>Προσφυγή στη διαδικασία της απευθείας ανάθεσης επιτρέπεται, όταν η εκτιμώμενη αξία της σύμβασης, είναι ίση ή κατώτερη από το όριο των τριάντα χιλιάδων (30.000) ευρώ. </w:t>
      </w:r>
      <w:r w:rsidRPr="000104EF">
        <w:rPr>
          <w:rStyle w:val="a4"/>
          <w:rFonts w:ascii="Times New Roman" w:hAnsi="Times New Roman" w:cs="Times New Roman"/>
          <w:color w:val="333333"/>
          <w:sz w:val="24"/>
          <w:szCs w:val="24"/>
          <w:shd w:val="clear" w:color="auto" w:fill="FFFFFF"/>
        </w:rPr>
        <w:t xml:space="preserve">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είναι εξήντα χιλιάδες </w:t>
      </w:r>
      <w:r w:rsidRPr="000104EF">
        <w:rPr>
          <w:rStyle w:val="a4"/>
          <w:rFonts w:ascii="Times New Roman" w:hAnsi="Times New Roman" w:cs="Times New Roman"/>
          <w:color w:val="333333"/>
          <w:sz w:val="24"/>
          <w:szCs w:val="24"/>
          <w:shd w:val="clear" w:color="auto" w:fill="FFFFFF"/>
        </w:rPr>
        <w:lastRenderedPageBreak/>
        <w:t>(60.000) ευρώ». </w:t>
      </w:r>
      <w:r w:rsidRPr="000104EF">
        <w:rPr>
          <w:rFonts w:ascii="Times New Roman" w:hAnsi="Times New Roman" w:cs="Times New Roman"/>
          <w:color w:val="333333"/>
          <w:sz w:val="24"/>
          <w:szCs w:val="24"/>
          <w:shd w:val="clear" w:color="auto" w:fill="FFFFFF"/>
        </w:rPr>
        <w:t>Κατόπιν των ανωτέρω, τα αναφερόμενα στο ερώτημά σας </w:t>
      </w:r>
      <w:r w:rsidRPr="000104EF">
        <w:rPr>
          <w:rStyle w:val="a4"/>
          <w:rFonts w:ascii="Times New Roman" w:hAnsi="Times New Roman" w:cs="Times New Roman"/>
          <w:color w:val="333333"/>
          <w:sz w:val="24"/>
          <w:szCs w:val="24"/>
          <w:shd w:val="clear" w:color="auto" w:fill="FFFFFF"/>
        </w:rPr>
        <w:t>δεν διαφαίνεται να εμπίπτουν</w:t>
      </w:r>
      <w:r w:rsidRPr="000104EF">
        <w:rPr>
          <w:rFonts w:ascii="Times New Roman" w:hAnsi="Times New Roman" w:cs="Times New Roman"/>
          <w:color w:val="333333"/>
          <w:sz w:val="24"/>
          <w:szCs w:val="24"/>
          <w:shd w:val="clear" w:color="auto" w:fill="FFFFFF"/>
        </w:rPr>
        <w:t> στην κατηγορία του πεδίου εφαρμογής των άρθρων 107 έως 110, το προς Ανάθεση ποσό των οποίων είναι </w:t>
      </w:r>
      <w:r w:rsidRPr="000104EF">
        <w:rPr>
          <w:rStyle w:val="a4"/>
          <w:rFonts w:ascii="Times New Roman" w:hAnsi="Times New Roman" w:cs="Times New Roman"/>
          <w:b w:val="0"/>
          <w:bCs w:val="0"/>
          <w:color w:val="333333"/>
          <w:sz w:val="24"/>
          <w:szCs w:val="24"/>
          <w:shd w:val="clear" w:color="auto" w:fill="FFFFFF"/>
        </w:rPr>
        <w:t>έως εξήντα χιλιάδες (60.000) ευρώ</w:t>
      </w:r>
      <w:r w:rsidRPr="000104EF">
        <w:rPr>
          <w:rFonts w:ascii="Times New Roman" w:eastAsia="Times New Roman" w:hAnsi="Times New Roman" w:cs="Times New Roman"/>
          <w:noProof w:val="0"/>
          <w:vanish/>
          <w:sz w:val="24"/>
          <w:szCs w:val="24"/>
          <w:lang w:eastAsia="el-GR"/>
        </w:rPr>
        <w:t>Τέλος φόρμας</w:t>
      </w:r>
    </w:p>
    <w:p w14:paraId="48116F07" w14:textId="77777777" w:rsidR="00641271" w:rsidRPr="000104EF" w:rsidRDefault="00641271" w:rsidP="000104EF">
      <w:pPr>
        <w:pBdr>
          <w:top w:val="single" w:sz="6" w:space="1" w:color="auto"/>
        </w:pBdr>
        <w:spacing w:after="0" w:line="240" w:lineRule="auto"/>
        <w:jc w:val="both"/>
        <w:rPr>
          <w:rFonts w:ascii="Times New Roman" w:eastAsia="Times New Roman" w:hAnsi="Times New Roman" w:cs="Times New Roman"/>
          <w:noProof w:val="0"/>
          <w:sz w:val="24"/>
          <w:szCs w:val="24"/>
          <w:lang w:eastAsia="el-GR"/>
        </w:rPr>
      </w:pPr>
    </w:p>
    <w:p w14:paraId="2DFCF459" w14:textId="77777777" w:rsidR="00D67497" w:rsidRPr="000104EF" w:rsidRDefault="00D67497" w:rsidP="000104EF">
      <w:pPr>
        <w:spacing w:after="0" w:line="240" w:lineRule="auto"/>
        <w:jc w:val="both"/>
        <w:rPr>
          <w:rFonts w:ascii="Times New Roman" w:eastAsia="Times New Roman" w:hAnsi="Times New Roman" w:cs="Times New Roman"/>
          <w:noProof w:val="0"/>
          <w:color w:val="333333"/>
          <w:sz w:val="24"/>
          <w:szCs w:val="24"/>
          <w:lang w:eastAsia="el-GR"/>
        </w:rPr>
      </w:pPr>
    </w:p>
    <w:p w14:paraId="4290B190" w14:textId="77777777" w:rsidR="00641271" w:rsidRPr="000104EF" w:rsidRDefault="00641271" w:rsidP="000104EF">
      <w:pPr>
        <w:spacing w:after="0" w:line="240" w:lineRule="auto"/>
        <w:jc w:val="both"/>
        <w:rPr>
          <w:rFonts w:ascii="Times New Roman" w:eastAsia="Times New Roman" w:hAnsi="Times New Roman" w:cs="Times New Roman"/>
          <w:b/>
          <w:bCs/>
          <w:noProof w:val="0"/>
          <w:color w:val="333333"/>
          <w:sz w:val="24"/>
          <w:szCs w:val="24"/>
          <w:highlight w:val="yellow"/>
          <w:lang w:eastAsia="el-GR"/>
        </w:rPr>
      </w:pPr>
    </w:p>
    <w:p w14:paraId="3633CFBB" w14:textId="77777777" w:rsidR="00641271" w:rsidRPr="000104EF" w:rsidRDefault="00641271" w:rsidP="000104EF">
      <w:pPr>
        <w:spacing w:after="0" w:line="240" w:lineRule="auto"/>
        <w:jc w:val="both"/>
        <w:rPr>
          <w:rFonts w:ascii="Times New Roman" w:eastAsia="Times New Roman" w:hAnsi="Times New Roman" w:cs="Times New Roman"/>
          <w:b/>
          <w:bCs/>
          <w:noProof w:val="0"/>
          <w:color w:val="333333"/>
          <w:sz w:val="24"/>
          <w:szCs w:val="24"/>
          <w:highlight w:val="yellow"/>
          <w:lang w:eastAsia="el-GR"/>
        </w:rPr>
      </w:pPr>
    </w:p>
    <w:p w14:paraId="5C36BCF1" w14:textId="43F8ADE4" w:rsidR="00D67497" w:rsidRPr="000104EF" w:rsidRDefault="00D67497" w:rsidP="000104EF">
      <w:pPr>
        <w:spacing w:after="0" w:line="240" w:lineRule="auto"/>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b/>
          <w:bCs/>
          <w:noProof w:val="0"/>
          <w:color w:val="333333"/>
          <w:sz w:val="24"/>
          <w:szCs w:val="24"/>
          <w:highlight w:val="yellow"/>
          <w:lang w:eastAsia="el-GR"/>
        </w:rPr>
        <w:t>Ερώτηση 3:</w:t>
      </w:r>
    </w:p>
    <w:p w14:paraId="3AFB55BF" w14:textId="77777777" w:rsidR="00D67497" w:rsidRPr="000104EF" w:rsidRDefault="00D67497" w:rsidP="000104EF">
      <w:pPr>
        <w:spacing w:line="240" w:lineRule="auto"/>
        <w:jc w:val="both"/>
        <w:rPr>
          <w:rFonts w:ascii="Times New Roman" w:eastAsia="Times New Roman" w:hAnsi="Times New Roman" w:cs="Times New Roman"/>
          <w:noProof w:val="0"/>
          <w:color w:val="333333"/>
          <w:sz w:val="24"/>
          <w:szCs w:val="24"/>
          <w:lang w:eastAsia="el-GR"/>
        </w:rPr>
      </w:pPr>
    </w:p>
    <w:p w14:paraId="57156550" w14:textId="182AE5D8" w:rsidR="00D67497" w:rsidRPr="000104EF" w:rsidRDefault="00D67497" w:rsidP="000104EF">
      <w:pPr>
        <w:spacing w:line="240" w:lineRule="auto"/>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noProof w:val="0"/>
          <w:color w:val="333333"/>
          <w:sz w:val="24"/>
          <w:szCs w:val="24"/>
          <w:lang w:eastAsia="el-GR"/>
        </w:rPr>
        <w:t>Σχετικά με τα αναφερόμενα στην παρ. 5 του Άρθρου 118 Ν.4412/2016 για τον υπολογισμό των πιστώσεων της ΑΑ σε σχέση με το ποσόν που αντιστοιχεί στο τρέχον έτος προσμετρώνται (1) και τα συνεχιζόμενα από προηγούμενα έτη έργα και (β) τα Έργα που χρηματοδοτούνται από εθνικούς ή Κοινοτικούς πόρους. Επίσης γνωρίστε μου ποιός θα πρέπει να βεβαιώσει τα παραπάνω; Ο προϊστάμενος της Οικονομικής υπηρεσίας, ο Δήμαρχος ή ο προϊστάμενος Τεχνικής υπηρεσίας;</w:t>
      </w:r>
    </w:p>
    <w:p w14:paraId="6ADCA19A" w14:textId="77777777" w:rsidR="00D67497" w:rsidRPr="000104EF" w:rsidRDefault="00D67497" w:rsidP="000104EF">
      <w:pPr>
        <w:pStyle w:val="Web"/>
        <w:jc w:val="both"/>
        <w:rPr>
          <w:color w:val="333333"/>
        </w:rPr>
      </w:pPr>
      <w:r w:rsidRPr="000104EF">
        <w:rPr>
          <w:rStyle w:val="a4"/>
          <w:color w:val="333333"/>
        </w:rPr>
        <w:t>Σε σχέση με το α΄ερώτημα:</w:t>
      </w:r>
    </w:p>
    <w:p w14:paraId="2D306E3C" w14:textId="77777777" w:rsidR="00D67497" w:rsidRPr="000104EF" w:rsidRDefault="00D67497" w:rsidP="000104EF">
      <w:pPr>
        <w:pStyle w:val="Web"/>
        <w:jc w:val="both"/>
        <w:rPr>
          <w:color w:val="333333"/>
        </w:rPr>
      </w:pPr>
      <w:r w:rsidRPr="000104EF">
        <w:rPr>
          <w:color w:val="333333"/>
        </w:rPr>
        <w:t>Σύμφωνα με το ανωτέρω 4ο Πρακτικό της Ομάδας Εργασίας ΥΠΟΜΕ: «Οι απαγορευτικοί κανόνες των διατάξεων των παρ. 4 και 5 του άρθρου 118 ν. 4412/2016 όπως ισχύει μετά την τροποποίησή του με το άρθρο 50 ν. 4782/2021, εφαρμόζονται αθροιστικά από 1.6.2021, για απευθείας αναθέσεις συμβάσεων έργων, μελετών και παροχής τεχνικών και λοιπών συναφών επιστημονικών υπηρεσιών,</w:t>
      </w:r>
      <w:r w:rsidRPr="000104EF">
        <w:rPr>
          <w:color w:val="333333"/>
          <w:u w:val="single"/>
        </w:rPr>
        <w:t> ανεξάρτητα της πηγής προέλευσης της χρηματοδότησης των εν λόγω συμβάσεων».</w:t>
      </w:r>
    </w:p>
    <w:p w14:paraId="3601ACD1" w14:textId="77777777" w:rsidR="00D67497" w:rsidRPr="000104EF" w:rsidRDefault="00D67497" w:rsidP="000104EF">
      <w:pPr>
        <w:pStyle w:val="Web"/>
        <w:jc w:val="both"/>
        <w:rPr>
          <w:color w:val="333333"/>
        </w:rPr>
      </w:pPr>
      <w:r w:rsidRPr="000104EF">
        <w:rPr>
          <w:color w:val="333333"/>
        </w:rPr>
        <w:t>Το εγκεκριμένο Τεχνικό Πρόγραμμα αποτελεί ένα δυναμικό στοιχείο, το οποίο αναμορφώνεται κατά τη διάρκεια του έτους ανάλογα με την πορεία των έργων, των χρηματοδοτήσεων, των αναγκών που προκύπτουν, την πορεία εκτέλεσης του προϋπολογισμού, κλπ</w:t>
      </w:r>
    </w:p>
    <w:p w14:paraId="794FB087" w14:textId="77777777" w:rsidR="00D67497" w:rsidRPr="000104EF" w:rsidRDefault="00D67497" w:rsidP="000104EF">
      <w:pPr>
        <w:pStyle w:val="Web"/>
        <w:jc w:val="both"/>
        <w:rPr>
          <w:color w:val="333333"/>
        </w:rPr>
      </w:pPr>
      <w:r w:rsidRPr="000104EF">
        <w:rPr>
          <w:color w:val="333333"/>
        </w:rPr>
        <w:t>Κατά τη διάρκεια του έτους τροποποιείται το Τεχνικό Πρόγραμμα του Δήμου αλλα και εκδίδονται τροποποιητικές ΣΑ από τη ΔΔΕ κλπ.</w:t>
      </w:r>
    </w:p>
    <w:p w14:paraId="01342CBF" w14:textId="77777777" w:rsidR="00D67497" w:rsidRPr="000104EF" w:rsidRDefault="00D67497" w:rsidP="000104EF">
      <w:pPr>
        <w:pStyle w:val="Web"/>
        <w:jc w:val="both"/>
        <w:rPr>
          <w:color w:val="333333"/>
        </w:rPr>
      </w:pPr>
      <w:r w:rsidRPr="000104EF">
        <w:rPr>
          <w:color w:val="333333"/>
        </w:rPr>
        <w:t>Είναι λογικό ο υπολογισμός του ποσοστού του 10% να μην είναι σταθερό κατά τη διάρκεια του έτους και να συναρτάται από το τεχνικό πρόγραμμα όπως ισχύει. Δλδ δεν «κλειδώνει» στην αρχή του έτους συναρτώμενο με το τεχνικό πρόγραμμα όπως ισχύει κάθε πρώτη του τρέχοντος έτους. Διαφορετικά κατά τη γνώμη μας θα ήταν άλλη η διατύπωση του νόμου.</w:t>
      </w:r>
    </w:p>
    <w:p w14:paraId="49A55F0C" w14:textId="77777777" w:rsidR="00D67497" w:rsidRPr="000104EF" w:rsidRDefault="00D67497" w:rsidP="000104EF">
      <w:pPr>
        <w:pStyle w:val="Web"/>
        <w:jc w:val="both"/>
        <w:rPr>
          <w:color w:val="333333"/>
        </w:rPr>
      </w:pPr>
      <w:r w:rsidRPr="000104EF">
        <w:rPr>
          <w:rStyle w:val="a4"/>
          <w:color w:val="333333"/>
        </w:rPr>
        <w:t>Σε σχέση με το β΄ερώτημα:</w:t>
      </w:r>
    </w:p>
    <w:p w14:paraId="683C2A06" w14:textId="3CDCE24D" w:rsidR="00D67497" w:rsidRPr="000104EF" w:rsidRDefault="00641271" w:rsidP="000104EF">
      <w:pPr>
        <w:pStyle w:val="Web"/>
        <w:jc w:val="both"/>
        <w:rPr>
          <w:color w:val="333333"/>
        </w:rPr>
      </w:pPr>
      <w:r w:rsidRPr="000104EF">
        <w:rPr>
          <w:color w:val="333333"/>
        </w:rPr>
        <w:t>Σ</w:t>
      </w:r>
      <w:r w:rsidR="00D67497" w:rsidRPr="000104EF">
        <w:rPr>
          <w:color w:val="333333"/>
        </w:rPr>
        <w:t>ε σχέση με την εφαρμογή ελέγχου της τήρησης των απαγορευτικών κανόνων περί μη υπέρβασης του ποσοστού 10%  του προϋπολογισμού τεχνικών έργων του άρθρου 118 του ν. 4412/2016</w:t>
      </w:r>
    </w:p>
    <w:p w14:paraId="6725053D" w14:textId="77777777" w:rsidR="00D67497" w:rsidRPr="000104EF" w:rsidRDefault="00D67497" w:rsidP="000104EF">
      <w:pPr>
        <w:pStyle w:val="Web"/>
        <w:jc w:val="both"/>
        <w:rPr>
          <w:color w:val="333333"/>
        </w:rPr>
      </w:pPr>
      <w:r w:rsidRPr="000104EF">
        <w:rPr>
          <w:color w:val="333333"/>
        </w:rPr>
        <w:t>Πέρα των δυσκολιών, που σημειώνει και η ΕΑΑΔΗΣΥ στην Α-45 Γνώμη της, κάνουμε τις εξής παρατηρήσεις σχετικά με το αρμόδιο όργανο ελέγχου υπέρβασης του ποσοστού.</w:t>
      </w:r>
    </w:p>
    <w:p w14:paraId="1246E5EE" w14:textId="77777777" w:rsidR="00D67497" w:rsidRPr="000104EF" w:rsidRDefault="00D67497" w:rsidP="000104EF">
      <w:pPr>
        <w:pStyle w:val="Web"/>
        <w:jc w:val="both"/>
        <w:rPr>
          <w:color w:val="333333"/>
        </w:rPr>
      </w:pPr>
      <w:r w:rsidRPr="000104EF">
        <w:rPr>
          <w:color w:val="333333"/>
        </w:rPr>
        <w:t xml:space="preserve">Οι Προϊστάμενοι Οικονομικών Υπηρεσιών των φορέων της Γενικής Κυβέρνησης ελέγχουν και παρακολουθούν την εξέλιξη των υποχρεώσεων που αναλαμβάνει ο διατάκτης σε βάρος των πιστώσεων του προϋπολογισμού του και παρέχουν, όταν ζητηθεί από τις κατά νόμο </w:t>
      </w:r>
      <w:r w:rsidRPr="000104EF">
        <w:rPr>
          <w:color w:val="333333"/>
        </w:rPr>
        <w:lastRenderedPageBreak/>
        <w:t>αρμόδιες Υπηρεσίες, κάθε σχετική πληροφορία για την πορεία και τα υπόλοιπα των πιστώσεων, όπως έχουν διαμορφωθεί μετά την αφαίρεση των καταχωρημένων υποχρεώσεων, καθώς και την τήρηση των διατάξεων του άρθρου 72 του Ν. 4270/2014. (παρ.2 άρθρο 7 Π.Δ.80/2016)</w:t>
      </w:r>
    </w:p>
    <w:p w14:paraId="44EF9D19" w14:textId="77777777" w:rsidR="00D67497" w:rsidRPr="000104EF" w:rsidRDefault="00D67497" w:rsidP="000104EF">
      <w:pPr>
        <w:pStyle w:val="Web"/>
        <w:jc w:val="both"/>
        <w:rPr>
          <w:color w:val="333333"/>
        </w:rPr>
      </w:pPr>
      <w:r w:rsidRPr="000104EF">
        <w:rPr>
          <w:color w:val="333333"/>
        </w:rPr>
        <w:t>Συνεπώς ένας τρόπος ελέγχου υπέρβασης του ποσοστού θα ήταν να υπάρχει μία βεβαίωση του ΠΟΥ (και όχι του διατάκτη, όπως παρατηρεί ενδεικτικά η ΕΑΑΔΗΣΥ), με την οποία θα βεβαιώνεται ότι δεν υπάρχει υπέρβαση του 10%.</w:t>
      </w:r>
    </w:p>
    <w:p w14:paraId="376AA66B" w14:textId="77777777" w:rsidR="00D67497" w:rsidRPr="000104EF" w:rsidRDefault="00D67497" w:rsidP="000104EF">
      <w:pPr>
        <w:pStyle w:val="Web"/>
        <w:jc w:val="both"/>
        <w:rPr>
          <w:color w:val="333333"/>
        </w:rPr>
      </w:pPr>
      <w:r w:rsidRPr="000104EF">
        <w:rPr>
          <w:color w:val="333333"/>
        </w:rPr>
        <w:t>Τι ακριβώς όμως μπορεί να βεβαιώνει ο ΠΟΥ από τη στιγμή που δεν έχει άμεση πρόσβαση στην πορεία των αναθέσεων ώστε να μπορεί έχει ακριβή εικόνα αυτών;</w:t>
      </w:r>
    </w:p>
    <w:p w14:paraId="117F24A6" w14:textId="77777777" w:rsidR="00D67497" w:rsidRPr="000104EF" w:rsidRDefault="00D67497" w:rsidP="000104EF">
      <w:pPr>
        <w:pStyle w:val="Web"/>
        <w:jc w:val="both"/>
        <w:rPr>
          <w:color w:val="333333"/>
        </w:rPr>
      </w:pPr>
      <w:r w:rsidRPr="000104EF">
        <w:rPr>
          <w:color w:val="333333"/>
        </w:rPr>
        <w:t>Γι’ αυτόν τον λόγο, θα πρέπει να συνδράμει με την παροχή στοιχείων προς τον ΠΟΥ η τεχνική υπηρεσία, ως αρμόδια υπηρεσία που διενεργεί τις διαδικασίες απ’ ευθείας αναθέσεων συμβάσεων έργων, μελετών και παροχής τεχνικών και λοιπών επιστημονικών υπηρεσιών, αντίστοιχα.</w:t>
      </w:r>
    </w:p>
    <w:p w14:paraId="55ADBC9C" w14:textId="77777777" w:rsidR="00D67497" w:rsidRPr="000104EF" w:rsidRDefault="00D67497" w:rsidP="000104EF">
      <w:pPr>
        <w:pStyle w:val="Web"/>
        <w:jc w:val="both"/>
        <w:rPr>
          <w:color w:val="333333"/>
        </w:rPr>
      </w:pPr>
      <w:r w:rsidRPr="000104EF">
        <w:rPr>
          <w:color w:val="333333"/>
        </w:rPr>
        <w:t>Συγκεκριμένα, θα μπορούσε να εκδοθεί μια βεβαίωση από την τεχνική υπηρεσία προς τον ΠΟΥ για το συνολικό ποσό των συμβάσεων που έχουν συναφθεί, με διαδικασία απ’ ευθείας ανάθεσης για έργα/μελέτες/ παροχή τεχνικών και λοιπών επιστημονικών υπηρεσιών, ανάλογα με το είδος της σύμβασης που πρόκειται να ανατεθεί, εντός του τρέχοντος έτους και μέχρι την χρονική στιγμή εκείνη.</w:t>
      </w:r>
    </w:p>
    <w:p w14:paraId="05299161" w14:textId="77777777" w:rsidR="00D67497" w:rsidRPr="000104EF" w:rsidRDefault="00D67497" w:rsidP="000104EF">
      <w:pPr>
        <w:pStyle w:val="Web"/>
        <w:jc w:val="both"/>
        <w:rPr>
          <w:color w:val="333333"/>
        </w:rPr>
      </w:pPr>
      <w:r w:rsidRPr="000104EF">
        <w:rPr>
          <w:color w:val="333333"/>
        </w:rPr>
        <w:t>Κατόπιν, το ποσό αυτό της βεβαίωσης, ο ΠΟΥ θα το συγκρίνει με το ποσό, που θα αντιστοιχεί στο ποσοστό 10% των πιστώσεων της αναθέτουσας αρχής κατ’ έτος, για ανάθεση συμβάσεων έργων/ μελετών/ παροχής τεχνικών και λοιπών επιστημονικών υπηρεσιών, ανάλογα με το είδος της σύμβασης που πρόκειται να ανατεθεί, σύμφωνα με τον εγκεκριμένο προϋπολογισμό, όπως ισχύει εκείνη τη στιγμή. Τελικά κι εφόσον πληρούνται οι ανωτέρω προϋποθέσεις και περιορισμοί, ο ΠΟΥ θα προβεί στην έκδοση βεβαίωσης, ότι δεν υπάρχει υπέρβαση του ορίου 10%.</w:t>
      </w:r>
    </w:p>
    <w:p w14:paraId="6C5CDAE0" w14:textId="77777777" w:rsidR="00D67497" w:rsidRPr="000104EF" w:rsidRDefault="00D67497" w:rsidP="000104EF">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0104EF">
        <w:rPr>
          <w:rFonts w:ascii="Times New Roman" w:eastAsia="Times New Roman" w:hAnsi="Times New Roman" w:cs="Times New Roman"/>
          <w:noProof w:val="0"/>
          <w:vanish/>
          <w:sz w:val="24"/>
          <w:szCs w:val="24"/>
          <w:lang w:eastAsia="el-GR"/>
        </w:rPr>
        <w:t>Τέλος φόρμας</w:t>
      </w:r>
    </w:p>
    <w:p w14:paraId="4145A18F" w14:textId="77777777" w:rsidR="00D67497" w:rsidRPr="000104EF" w:rsidRDefault="00D67497" w:rsidP="000104EF">
      <w:pPr>
        <w:jc w:val="both"/>
        <w:rPr>
          <w:rFonts w:ascii="Times New Roman" w:hAnsi="Times New Roman" w:cs="Times New Roman"/>
          <w:sz w:val="24"/>
          <w:szCs w:val="24"/>
        </w:rPr>
      </w:pPr>
    </w:p>
    <w:p w14:paraId="09C3F3B3" w14:textId="7644FAB1" w:rsidR="000104EF" w:rsidRPr="000104EF" w:rsidRDefault="000104EF" w:rsidP="000104EF">
      <w:pPr>
        <w:spacing w:after="0" w:line="240" w:lineRule="auto"/>
        <w:jc w:val="both"/>
        <w:rPr>
          <w:rFonts w:ascii="Times New Roman" w:eastAsia="Times New Roman" w:hAnsi="Times New Roman" w:cs="Times New Roman"/>
          <w:b/>
          <w:bCs/>
          <w:noProof w:val="0"/>
          <w:color w:val="333333"/>
          <w:sz w:val="24"/>
          <w:szCs w:val="24"/>
          <w:highlight w:val="yellow"/>
          <w:lang w:eastAsia="el-GR"/>
        </w:rPr>
      </w:pPr>
      <w:r w:rsidRPr="000104EF">
        <w:rPr>
          <w:rFonts w:ascii="Times New Roman" w:eastAsia="Times New Roman" w:hAnsi="Times New Roman" w:cs="Times New Roman"/>
          <w:b/>
          <w:bCs/>
          <w:noProof w:val="0"/>
          <w:color w:val="333333"/>
          <w:sz w:val="24"/>
          <w:szCs w:val="24"/>
          <w:highlight w:val="yellow"/>
          <w:lang w:eastAsia="el-GR"/>
        </w:rPr>
        <w:t xml:space="preserve">Ερώτηση 4: </w:t>
      </w:r>
    </w:p>
    <w:p w14:paraId="77199663" w14:textId="77777777" w:rsidR="000104EF" w:rsidRPr="000104EF" w:rsidRDefault="000104EF" w:rsidP="000104EF">
      <w:pPr>
        <w:spacing w:line="240" w:lineRule="auto"/>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noProof w:val="0"/>
          <w:color w:val="333333"/>
          <w:sz w:val="24"/>
          <w:szCs w:val="24"/>
          <w:lang w:eastAsia="el-GR"/>
        </w:rPr>
        <w:t>Το Όριο ποσοστού έως 10% των πιστώσεων της αναθέτουσας αρχής κατ’ έτος για απευθείας ανάθεσης συμβάσεις έργων, μελετών και παροχής τεχνικών και λοιπών επιστημονικών υπηρεσιών (αρθ.118 παρ.5 Ν.4412/16) (αφορα το σύνολο των πιστώσεων για εργα-μελέτες -τεχνικες υπηρεσιες που είναι εγγεγραμενες στον προϋπολογισμό (εργα+μελετες+τεχνικές) ή 10% στο συνολο των έργων, 10% στο συνολο των μελετων, 10% στο σύνολο των τεχνικών υπηρεσιων?</w:t>
      </w:r>
    </w:p>
    <w:p w14:paraId="1DCA1405" w14:textId="77777777" w:rsidR="000104EF" w:rsidRPr="000104EF" w:rsidRDefault="000104EF" w:rsidP="000104EF">
      <w:pPr>
        <w:spacing w:line="240" w:lineRule="auto"/>
        <w:jc w:val="both"/>
        <w:rPr>
          <w:rFonts w:ascii="Times New Roman" w:hAnsi="Times New Roman" w:cs="Times New Roman"/>
          <w:b/>
          <w:bCs/>
          <w:color w:val="333333"/>
          <w:sz w:val="24"/>
          <w:szCs w:val="24"/>
          <w:shd w:val="clear" w:color="auto" w:fill="FFFFFF"/>
        </w:rPr>
      </w:pPr>
      <w:r w:rsidRPr="000104EF">
        <w:rPr>
          <w:rFonts w:ascii="Times New Roman" w:hAnsi="Times New Roman" w:cs="Times New Roman"/>
          <w:b/>
          <w:bCs/>
          <w:color w:val="333333"/>
          <w:sz w:val="24"/>
          <w:szCs w:val="24"/>
          <w:shd w:val="clear" w:color="auto" w:fill="FFFFFF"/>
        </w:rPr>
        <w:t>Απάντηση</w:t>
      </w:r>
      <w:r w:rsidRPr="000104EF">
        <w:rPr>
          <w:rStyle w:val="a4"/>
          <w:rFonts w:ascii="Times New Roman" w:hAnsi="Times New Roman" w:cs="Times New Roman"/>
          <w:color w:val="333333"/>
          <w:sz w:val="24"/>
          <w:szCs w:val="24"/>
        </w:rPr>
        <w:t>:</w:t>
      </w:r>
    </w:p>
    <w:p w14:paraId="65DFF1EB" w14:textId="1E8C0F41" w:rsidR="000104EF" w:rsidRPr="000104EF" w:rsidRDefault="000104EF" w:rsidP="000104EF">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noProof w:val="0"/>
          <w:color w:val="333333"/>
          <w:sz w:val="24"/>
          <w:szCs w:val="24"/>
          <w:lang w:eastAsia="el-GR"/>
        </w:rPr>
        <w:t>Σύμφωνα με την ρητή πρόβλεψη της παρ. 5 του άρθρου 118, σαφέστατα θα πρέπει το σύνολο του προς απευθείας ανάθεση ποσού σε ετήσια βάση να μην ξεπεράσει το ποσό που αντιστοιχεί στο προαναφερόμενο ποσοστό 10% επί των πιστώσεων.</w:t>
      </w:r>
    </w:p>
    <w:p w14:paraId="5B50A03B" w14:textId="77777777" w:rsidR="000104EF" w:rsidRPr="000104EF" w:rsidRDefault="000104EF" w:rsidP="000104EF">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noProof w:val="0"/>
          <w:color w:val="333333"/>
          <w:sz w:val="24"/>
          <w:szCs w:val="24"/>
          <w:lang w:eastAsia="el-GR"/>
        </w:rPr>
        <w:t>10% στο σύνολο των έργων,</w:t>
      </w:r>
    </w:p>
    <w:p w14:paraId="3F1FEBCC" w14:textId="77777777" w:rsidR="000104EF" w:rsidRPr="000104EF" w:rsidRDefault="000104EF" w:rsidP="000104EF">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noProof w:val="0"/>
          <w:color w:val="333333"/>
          <w:sz w:val="24"/>
          <w:szCs w:val="24"/>
          <w:lang w:eastAsia="el-GR"/>
        </w:rPr>
        <w:t>10% στο σύνολο των μελετών και (επιπρόσθετα) των τεχνικών υπηρεσιών?</w:t>
      </w:r>
    </w:p>
    <w:p w14:paraId="46A5CE52" w14:textId="77777777" w:rsidR="000104EF" w:rsidRPr="000104EF" w:rsidRDefault="000104EF" w:rsidP="000104EF">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b/>
          <w:bCs/>
          <w:noProof w:val="0"/>
          <w:color w:val="333333"/>
          <w:sz w:val="24"/>
          <w:szCs w:val="24"/>
          <w:lang w:eastAsia="el-GR"/>
        </w:rPr>
        <w:lastRenderedPageBreak/>
        <w:t>Παράδειγμα:</w:t>
      </w:r>
    </w:p>
    <w:p w14:paraId="61E8F821" w14:textId="7763F23A" w:rsidR="000104EF" w:rsidRPr="000104EF" w:rsidRDefault="000104EF" w:rsidP="000104EF">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noProof w:val="0"/>
          <w:color w:val="333333"/>
          <w:sz w:val="24"/>
          <w:szCs w:val="24"/>
          <w:lang w:eastAsia="el-GR"/>
        </w:rPr>
        <w:t>Δήμος Α΄ που εμπεριέχει στο ψηφισμένο Τεχνικό του Πρόγραμμα έτους 202</w:t>
      </w:r>
      <w:r>
        <w:rPr>
          <w:rFonts w:ascii="Times New Roman" w:eastAsia="Times New Roman" w:hAnsi="Times New Roman" w:cs="Times New Roman"/>
          <w:noProof w:val="0"/>
          <w:color w:val="333333"/>
          <w:sz w:val="24"/>
          <w:szCs w:val="24"/>
          <w:lang w:eastAsia="el-GR"/>
        </w:rPr>
        <w:t>2</w:t>
      </w:r>
      <w:r w:rsidRPr="000104EF">
        <w:rPr>
          <w:rFonts w:ascii="Times New Roman" w:eastAsia="Times New Roman" w:hAnsi="Times New Roman" w:cs="Times New Roman"/>
          <w:noProof w:val="0"/>
          <w:color w:val="333333"/>
          <w:sz w:val="24"/>
          <w:szCs w:val="24"/>
          <w:lang w:eastAsia="el-GR"/>
        </w:rPr>
        <w:t xml:space="preserve"> ποσό 1</w:t>
      </w:r>
      <w:r>
        <w:rPr>
          <w:rFonts w:ascii="Times New Roman" w:eastAsia="Times New Roman" w:hAnsi="Times New Roman" w:cs="Times New Roman"/>
          <w:noProof w:val="0"/>
          <w:color w:val="333333"/>
          <w:sz w:val="24"/>
          <w:szCs w:val="24"/>
          <w:lang w:eastAsia="el-GR"/>
        </w:rPr>
        <w:t>5</w:t>
      </w:r>
      <w:r w:rsidRPr="000104EF">
        <w:rPr>
          <w:rFonts w:ascii="Times New Roman" w:eastAsia="Times New Roman" w:hAnsi="Times New Roman" w:cs="Times New Roman"/>
          <w:noProof w:val="0"/>
          <w:color w:val="333333"/>
          <w:sz w:val="24"/>
          <w:szCs w:val="24"/>
          <w:lang w:eastAsia="el-GR"/>
        </w:rPr>
        <w:t xml:space="preserve">.000.000 ευρώ για΄Έργα και </w:t>
      </w:r>
      <w:r>
        <w:rPr>
          <w:rFonts w:ascii="Times New Roman" w:eastAsia="Times New Roman" w:hAnsi="Times New Roman" w:cs="Times New Roman"/>
          <w:noProof w:val="0"/>
          <w:color w:val="333333"/>
          <w:sz w:val="24"/>
          <w:szCs w:val="24"/>
          <w:lang w:eastAsia="el-GR"/>
        </w:rPr>
        <w:t>2</w:t>
      </w:r>
      <w:r w:rsidRPr="000104EF">
        <w:rPr>
          <w:rFonts w:ascii="Times New Roman" w:eastAsia="Times New Roman" w:hAnsi="Times New Roman" w:cs="Times New Roman"/>
          <w:noProof w:val="0"/>
          <w:color w:val="333333"/>
          <w:sz w:val="24"/>
          <w:szCs w:val="24"/>
          <w:lang w:eastAsia="el-GR"/>
        </w:rPr>
        <w:t>.000.000 ευρώ για Μελέτες &amp; Τεχνικές Επιστημονικές Υπηρεσίες, μπορεί το έτος 2022 να αναθέσει απευθείας:</w:t>
      </w:r>
    </w:p>
    <w:p w14:paraId="4183E9BF" w14:textId="3C0344FA" w:rsidR="000104EF" w:rsidRPr="000104EF" w:rsidRDefault="000104EF" w:rsidP="000104EF">
      <w:pPr>
        <w:numPr>
          <w:ilvl w:val="0"/>
          <w:numId w:val="2"/>
        </w:numPr>
        <w:tabs>
          <w:tab w:val="clear" w:pos="360"/>
          <w:tab w:val="num" w:pos="720"/>
        </w:tabs>
        <w:spacing w:before="100" w:beforeAutospacing="1" w:after="100" w:afterAutospacing="1" w:line="240" w:lineRule="auto"/>
        <w:ind w:left="720"/>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noProof w:val="0"/>
          <w:color w:val="333333"/>
          <w:sz w:val="24"/>
          <w:szCs w:val="24"/>
          <w:lang w:eastAsia="el-GR"/>
        </w:rPr>
        <w:t>Έργα συνολικού ποσού 1.</w:t>
      </w:r>
      <w:r>
        <w:rPr>
          <w:rFonts w:ascii="Times New Roman" w:eastAsia="Times New Roman" w:hAnsi="Times New Roman" w:cs="Times New Roman"/>
          <w:noProof w:val="0"/>
          <w:color w:val="333333"/>
          <w:sz w:val="24"/>
          <w:szCs w:val="24"/>
          <w:lang w:eastAsia="el-GR"/>
        </w:rPr>
        <w:t>5</w:t>
      </w:r>
      <w:r w:rsidRPr="000104EF">
        <w:rPr>
          <w:rFonts w:ascii="Times New Roman" w:eastAsia="Times New Roman" w:hAnsi="Times New Roman" w:cs="Times New Roman"/>
          <w:noProof w:val="0"/>
          <w:color w:val="333333"/>
          <w:sz w:val="24"/>
          <w:szCs w:val="24"/>
          <w:lang w:eastAsia="el-GR"/>
        </w:rPr>
        <w:t>00.000 ευρώ</w:t>
      </w:r>
    </w:p>
    <w:p w14:paraId="7CAB2378" w14:textId="34996107" w:rsidR="000104EF" w:rsidRPr="000104EF" w:rsidRDefault="000104EF" w:rsidP="000104EF">
      <w:pPr>
        <w:numPr>
          <w:ilvl w:val="0"/>
          <w:numId w:val="2"/>
        </w:numPr>
        <w:tabs>
          <w:tab w:val="clear" w:pos="360"/>
          <w:tab w:val="num" w:pos="720"/>
        </w:tabs>
        <w:spacing w:before="100" w:beforeAutospacing="1" w:after="100" w:afterAutospacing="1" w:line="240" w:lineRule="auto"/>
        <w:ind w:left="720"/>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noProof w:val="0"/>
          <w:color w:val="333333"/>
          <w:sz w:val="24"/>
          <w:szCs w:val="24"/>
          <w:lang w:eastAsia="el-GR"/>
        </w:rPr>
        <w:t xml:space="preserve">Μελέτες και ΤΕΥ συνολικού ποσού </w:t>
      </w:r>
      <w:r>
        <w:rPr>
          <w:rFonts w:ascii="Times New Roman" w:eastAsia="Times New Roman" w:hAnsi="Times New Roman" w:cs="Times New Roman"/>
          <w:noProof w:val="0"/>
          <w:color w:val="333333"/>
          <w:sz w:val="24"/>
          <w:szCs w:val="24"/>
          <w:lang w:eastAsia="el-GR"/>
        </w:rPr>
        <w:t>2</w:t>
      </w:r>
      <w:r w:rsidRPr="000104EF">
        <w:rPr>
          <w:rFonts w:ascii="Times New Roman" w:eastAsia="Times New Roman" w:hAnsi="Times New Roman" w:cs="Times New Roman"/>
          <w:noProof w:val="0"/>
          <w:color w:val="333333"/>
          <w:sz w:val="24"/>
          <w:szCs w:val="24"/>
          <w:lang w:eastAsia="el-GR"/>
        </w:rPr>
        <w:t>00.000 ευρώ</w:t>
      </w:r>
    </w:p>
    <w:p w14:paraId="4C7C9FB0" w14:textId="77777777" w:rsidR="000104EF" w:rsidRPr="000104EF" w:rsidRDefault="000104EF" w:rsidP="000104EF">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104EF">
        <w:rPr>
          <w:rFonts w:ascii="Times New Roman" w:eastAsia="Times New Roman" w:hAnsi="Times New Roman" w:cs="Times New Roman"/>
          <w:noProof w:val="0"/>
          <w:color w:val="333333"/>
          <w:sz w:val="24"/>
          <w:szCs w:val="24"/>
          <w:lang w:eastAsia="el-GR"/>
        </w:rPr>
        <w:t>Το υπόλοιπο (καθ’ υπέρβασιν των ανωτέρω) ποσό, σαφώς πρέπει να ανατεθεί κατόπιν διαγωνιστικής διαδικασίας.</w:t>
      </w:r>
    </w:p>
    <w:p w14:paraId="4B8786E9" w14:textId="77777777" w:rsidR="00D67497" w:rsidRPr="000104EF" w:rsidRDefault="00D67497" w:rsidP="000104EF">
      <w:pPr>
        <w:pBdr>
          <w:top w:val="single" w:sz="6" w:space="1" w:color="auto"/>
        </w:pBdr>
        <w:spacing w:after="0" w:line="240" w:lineRule="auto"/>
        <w:jc w:val="both"/>
        <w:rPr>
          <w:rFonts w:ascii="Times New Roman" w:eastAsia="Times New Roman" w:hAnsi="Times New Roman" w:cs="Times New Roman"/>
          <w:noProof w:val="0"/>
          <w:vanish/>
          <w:sz w:val="24"/>
          <w:szCs w:val="24"/>
          <w:lang w:eastAsia="el-GR"/>
        </w:rPr>
      </w:pPr>
    </w:p>
    <w:p w14:paraId="3DC8D888" w14:textId="77777777" w:rsidR="00B16894" w:rsidRPr="000104EF" w:rsidRDefault="00B16894" w:rsidP="000104EF">
      <w:pPr>
        <w:jc w:val="both"/>
        <w:rPr>
          <w:rFonts w:ascii="Times New Roman" w:hAnsi="Times New Roman" w:cs="Times New Roman"/>
          <w:sz w:val="24"/>
          <w:szCs w:val="24"/>
        </w:rPr>
      </w:pPr>
    </w:p>
    <w:sectPr w:rsidR="00B16894" w:rsidRPr="000104EF"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292E"/>
    <w:multiLevelType w:val="multilevel"/>
    <w:tmpl w:val="2A566EB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07B4CA6"/>
    <w:multiLevelType w:val="multilevel"/>
    <w:tmpl w:val="6DB6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E79"/>
    <w:rsid w:val="000104EF"/>
    <w:rsid w:val="00110496"/>
    <w:rsid w:val="00142847"/>
    <w:rsid w:val="00153A87"/>
    <w:rsid w:val="002E5E94"/>
    <w:rsid w:val="004418FB"/>
    <w:rsid w:val="00441DD8"/>
    <w:rsid w:val="005524A5"/>
    <w:rsid w:val="00641271"/>
    <w:rsid w:val="0087270C"/>
    <w:rsid w:val="00A1423A"/>
    <w:rsid w:val="00A30863"/>
    <w:rsid w:val="00B16894"/>
    <w:rsid w:val="00BC7966"/>
    <w:rsid w:val="00BD5B7E"/>
    <w:rsid w:val="00C32E79"/>
    <w:rsid w:val="00D67497"/>
    <w:rsid w:val="00EB7B13"/>
    <w:rsid w:val="00EC639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8496"/>
  <w15:docId w15:val="{902AC4CA-FD2B-4752-9F82-4C2F925C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6894"/>
    <w:rPr>
      <w:noProof/>
    </w:rPr>
  </w:style>
  <w:style w:type="paragraph" w:styleId="3">
    <w:name w:val="heading 3"/>
    <w:basedOn w:val="a"/>
    <w:link w:val="3Char"/>
    <w:uiPriority w:val="9"/>
    <w:qFormat/>
    <w:rsid w:val="00C32E79"/>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C32E79"/>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C32E79"/>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C32E79"/>
    <w:rPr>
      <w:rFonts w:ascii="Arial" w:eastAsia="Times New Roman" w:hAnsi="Arial" w:cs="Arial"/>
      <w:vanish/>
      <w:sz w:val="16"/>
      <w:szCs w:val="16"/>
      <w:lang w:eastAsia="el-GR"/>
    </w:rPr>
  </w:style>
  <w:style w:type="character" w:styleId="-">
    <w:name w:val="Hyperlink"/>
    <w:basedOn w:val="a0"/>
    <w:uiPriority w:val="99"/>
    <w:unhideWhenUsed/>
    <w:rsid w:val="00C32E79"/>
    <w:rPr>
      <w:color w:val="0000FF"/>
      <w:u w:val="single"/>
    </w:rPr>
  </w:style>
  <w:style w:type="paragraph" w:styleId="z-0">
    <w:name w:val="HTML Bottom of Form"/>
    <w:basedOn w:val="a"/>
    <w:next w:val="a"/>
    <w:link w:val="z-Char0"/>
    <w:hidden/>
    <w:uiPriority w:val="99"/>
    <w:semiHidden/>
    <w:unhideWhenUsed/>
    <w:rsid w:val="00C32E79"/>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C32E79"/>
    <w:rPr>
      <w:rFonts w:ascii="Arial" w:eastAsia="Times New Roman" w:hAnsi="Arial" w:cs="Arial"/>
      <w:vanish/>
      <w:sz w:val="16"/>
      <w:szCs w:val="16"/>
      <w:lang w:eastAsia="el-GR"/>
    </w:rPr>
  </w:style>
  <w:style w:type="paragraph" w:styleId="Web">
    <w:name w:val="Normal (Web)"/>
    <w:basedOn w:val="a"/>
    <w:uiPriority w:val="99"/>
    <w:semiHidden/>
    <w:unhideWhenUsed/>
    <w:rsid w:val="00C32E79"/>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Emphasis"/>
    <w:basedOn w:val="a0"/>
    <w:uiPriority w:val="20"/>
    <w:qFormat/>
    <w:rsid w:val="00C32E79"/>
    <w:rPr>
      <w:i/>
      <w:iCs/>
    </w:rPr>
  </w:style>
  <w:style w:type="character" w:styleId="a4">
    <w:name w:val="Strong"/>
    <w:basedOn w:val="a0"/>
    <w:uiPriority w:val="22"/>
    <w:qFormat/>
    <w:rsid w:val="00153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077010">
      <w:bodyDiv w:val="1"/>
      <w:marLeft w:val="0"/>
      <w:marRight w:val="0"/>
      <w:marTop w:val="0"/>
      <w:marBottom w:val="0"/>
      <w:divBdr>
        <w:top w:val="none" w:sz="0" w:space="0" w:color="auto"/>
        <w:left w:val="none" w:sz="0" w:space="0" w:color="auto"/>
        <w:bottom w:val="none" w:sz="0" w:space="0" w:color="auto"/>
        <w:right w:val="none" w:sz="0" w:space="0" w:color="auto"/>
      </w:divBdr>
      <w:divsChild>
        <w:div w:id="1474181213">
          <w:marLeft w:val="-257"/>
          <w:marRight w:val="-257"/>
          <w:marTop w:val="0"/>
          <w:marBottom w:val="0"/>
          <w:divBdr>
            <w:top w:val="none" w:sz="0" w:space="0" w:color="auto"/>
            <w:left w:val="none" w:sz="0" w:space="0" w:color="auto"/>
            <w:bottom w:val="none" w:sz="0" w:space="0" w:color="auto"/>
            <w:right w:val="none" w:sz="0" w:space="0" w:color="auto"/>
          </w:divBdr>
          <w:divsChild>
            <w:div w:id="121001078">
              <w:marLeft w:val="0"/>
              <w:marRight w:val="0"/>
              <w:marTop w:val="0"/>
              <w:marBottom w:val="0"/>
              <w:divBdr>
                <w:top w:val="none" w:sz="0" w:space="0" w:color="auto"/>
                <w:left w:val="none" w:sz="0" w:space="0" w:color="auto"/>
                <w:bottom w:val="none" w:sz="0" w:space="0" w:color="auto"/>
                <w:right w:val="none" w:sz="0" w:space="0" w:color="auto"/>
              </w:divBdr>
            </w:div>
          </w:divsChild>
        </w:div>
        <w:div w:id="1970283390">
          <w:marLeft w:val="-257"/>
          <w:marRight w:val="-257"/>
          <w:marTop w:val="0"/>
          <w:marBottom w:val="257"/>
          <w:divBdr>
            <w:top w:val="none" w:sz="0" w:space="0" w:color="auto"/>
            <w:left w:val="none" w:sz="0" w:space="0" w:color="auto"/>
            <w:bottom w:val="none" w:sz="0" w:space="0" w:color="auto"/>
            <w:right w:val="none" w:sz="0" w:space="0" w:color="auto"/>
          </w:divBdr>
          <w:divsChild>
            <w:div w:id="1322543341">
              <w:marLeft w:val="0"/>
              <w:marRight w:val="0"/>
              <w:marTop w:val="0"/>
              <w:marBottom w:val="0"/>
              <w:divBdr>
                <w:top w:val="none" w:sz="0" w:space="0" w:color="auto"/>
                <w:left w:val="none" w:sz="0" w:space="0" w:color="auto"/>
                <w:bottom w:val="none" w:sz="0" w:space="0" w:color="auto"/>
                <w:right w:val="none" w:sz="0" w:space="0" w:color="auto"/>
              </w:divBdr>
            </w:div>
          </w:divsChild>
        </w:div>
        <w:div w:id="1284969286">
          <w:marLeft w:val="-257"/>
          <w:marRight w:val="-257"/>
          <w:marTop w:val="0"/>
          <w:marBottom w:val="257"/>
          <w:divBdr>
            <w:top w:val="none" w:sz="0" w:space="0" w:color="auto"/>
            <w:left w:val="none" w:sz="0" w:space="0" w:color="auto"/>
            <w:bottom w:val="none" w:sz="0" w:space="0" w:color="auto"/>
            <w:right w:val="none" w:sz="0" w:space="0" w:color="auto"/>
          </w:divBdr>
          <w:divsChild>
            <w:div w:id="450320442">
              <w:marLeft w:val="0"/>
              <w:marRight w:val="0"/>
              <w:marTop w:val="0"/>
              <w:marBottom w:val="0"/>
              <w:divBdr>
                <w:top w:val="none" w:sz="0" w:space="0" w:color="auto"/>
                <w:left w:val="none" w:sz="0" w:space="0" w:color="auto"/>
                <w:bottom w:val="none" w:sz="0" w:space="0" w:color="auto"/>
                <w:right w:val="none" w:sz="0" w:space="0" w:color="auto"/>
              </w:divBdr>
            </w:div>
          </w:divsChild>
        </w:div>
        <w:div w:id="383527082">
          <w:marLeft w:val="-257"/>
          <w:marRight w:val="-257"/>
          <w:marTop w:val="0"/>
          <w:marBottom w:val="257"/>
          <w:divBdr>
            <w:top w:val="none" w:sz="0" w:space="0" w:color="auto"/>
            <w:left w:val="none" w:sz="0" w:space="0" w:color="auto"/>
            <w:bottom w:val="none" w:sz="0" w:space="0" w:color="auto"/>
            <w:right w:val="none" w:sz="0" w:space="0" w:color="auto"/>
          </w:divBdr>
          <w:divsChild>
            <w:div w:id="1967545698">
              <w:marLeft w:val="0"/>
              <w:marRight w:val="0"/>
              <w:marTop w:val="0"/>
              <w:marBottom w:val="0"/>
              <w:divBdr>
                <w:top w:val="none" w:sz="0" w:space="0" w:color="auto"/>
                <w:left w:val="none" w:sz="0" w:space="0" w:color="auto"/>
                <w:bottom w:val="none" w:sz="0" w:space="0" w:color="auto"/>
                <w:right w:val="none" w:sz="0" w:space="0" w:color="auto"/>
              </w:divBdr>
            </w:div>
          </w:divsChild>
        </w:div>
        <w:div w:id="37896332">
          <w:marLeft w:val="-257"/>
          <w:marRight w:val="-257"/>
          <w:marTop w:val="0"/>
          <w:marBottom w:val="257"/>
          <w:divBdr>
            <w:top w:val="none" w:sz="0" w:space="0" w:color="auto"/>
            <w:left w:val="none" w:sz="0" w:space="0" w:color="auto"/>
            <w:bottom w:val="none" w:sz="0" w:space="0" w:color="auto"/>
            <w:right w:val="none" w:sz="0" w:space="0" w:color="auto"/>
          </w:divBdr>
          <w:divsChild>
            <w:div w:id="164638546">
              <w:marLeft w:val="0"/>
              <w:marRight w:val="0"/>
              <w:marTop w:val="0"/>
              <w:marBottom w:val="0"/>
              <w:divBdr>
                <w:top w:val="none" w:sz="0" w:space="0" w:color="auto"/>
                <w:left w:val="none" w:sz="0" w:space="0" w:color="auto"/>
                <w:bottom w:val="none" w:sz="0" w:space="0" w:color="auto"/>
                <w:right w:val="none" w:sz="0" w:space="0" w:color="auto"/>
              </w:divBdr>
            </w:div>
          </w:divsChild>
        </w:div>
        <w:div w:id="894388731">
          <w:marLeft w:val="-257"/>
          <w:marRight w:val="-257"/>
          <w:marTop w:val="0"/>
          <w:marBottom w:val="257"/>
          <w:divBdr>
            <w:top w:val="none" w:sz="0" w:space="0" w:color="auto"/>
            <w:left w:val="none" w:sz="0" w:space="0" w:color="auto"/>
            <w:bottom w:val="none" w:sz="0" w:space="0" w:color="auto"/>
            <w:right w:val="none" w:sz="0" w:space="0" w:color="auto"/>
          </w:divBdr>
          <w:divsChild>
            <w:div w:id="1148550458">
              <w:marLeft w:val="0"/>
              <w:marRight w:val="0"/>
              <w:marTop w:val="0"/>
              <w:marBottom w:val="0"/>
              <w:divBdr>
                <w:top w:val="none" w:sz="0" w:space="0" w:color="auto"/>
                <w:left w:val="none" w:sz="0" w:space="0" w:color="auto"/>
                <w:bottom w:val="none" w:sz="0" w:space="0" w:color="auto"/>
                <w:right w:val="none" w:sz="0" w:space="0" w:color="auto"/>
              </w:divBdr>
            </w:div>
          </w:divsChild>
        </w:div>
        <w:div w:id="669715219">
          <w:marLeft w:val="-257"/>
          <w:marRight w:val="-257"/>
          <w:marTop w:val="0"/>
          <w:marBottom w:val="257"/>
          <w:divBdr>
            <w:top w:val="none" w:sz="0" w:space="0" w:color="auto"/>
            <w:left w:val="none" w:sz="0" w:space="0" w:color="auto"/>
            <w:bottom w:val="none" w:sz="0" w:space="0" w:color="auto"/>
            <w:right w:val="none" w:sz="0" w:space="0" w:color="auto"/>
          </w:divBdr>
          <w:divsChild>
            <w:div w:id="927890311">
              <w:marLeft w:val="0"/>
              <w:marRight w:val="0"/>
              <w:marTop w:val="0"/>
              <w:marBottom w:val="0"/>
              <w:divBdr>
                <w:top w:val="none" w:sz="0" w:space="0" w:color="auto"/>
                <w:left w:val="none" w:sz="0" w:space="0" w:color="auto"/>
                <w:bottom w:val="none" w:sz="0" w:space="0" w:color="auto"/>
                <w:right w:val="none" w:sz="0" w:space="0" w:color="auto"/>
              </w:divBdr>
            </w:div>
          </w:divsChild>
        </w:div>
        <w:div w:id="1075205419">
          <w:marLeft w:val="-257"/>
          <w:marRight w:val="-257"/>
          <w:marTop w:val="0"/>
          <w:marBottom w:val="257"/>
          <w:divBdr>
            <w:top w:val="none" w:sz="0" w:space="0" w:color="auto"/>
            <w:left w:val="none" w:sz="0" w:space="0" w:color="auto"/>
            <w:bottom w:val="none" w:sz="0" w:space="0" w:color="auto"/>
            <w:right w:val="none" w:sz="0" w:space="0" w:color="auto"/>
          </w:divBdr>
          <w:divsChild>
            <w:div w:id="13657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1294</Words>
  <Characters>6990</Characters>
  <Application>Microsoft Office Word</Application>
  <DocSecurity>0</DocSecurity>
  <Lines>58</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Ζήσης Παπασταμάτης</cp:lastModifiedBy>
  <cp:revision>13</cp:revision>
  <dcterms:created xsi:type="dcterms:W3CDTF">2022-10-07T15:38:00Z</dcterms:created>
  <dcterms:modified xsi:type="dcterms:W3CDTF">2025-03-25T14:56:00Z</dcterms:modified>
</cp:coreProperties>
</file>