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B85" w:rsidRPr="00540B85" w:rsidRDefault="00540B85" w:rsidP="00540B85">
      <w:pPr>
        <w:spacing w:after="0" w:line="240" w:lineRule="auto"/>
        <w:rPr>
          <w:rFonts w:ascii="Times New Roman" w:eastAsia="Times New Roman" w:hAnsi="Times New Roman" w:cs="Times New Roman"/>
          <w:b/>
          <w:bCs/>
          <w:color w:val="333333"/>
          <w:sz w:val="24"/>
          <w:szCs w:val="24"/>
          <w:lang w:eastAsia="el-GR"/>
        </w:rPr>
      </w:pPr>
      <w:r w:rsidRPr="00540B85">
        <w:rPr>
          <w:rFonts w:ascii="Times New Roman" w:eastAsia="Times New Roman" w:hAnsi="Times New Roman" w:cs="Times New Roman"/>
          <w:b/>
          <w:bCs/>
          <w:color w:val="333333"/>
          <w:sz w:val="24"/>
          <w:szCs w:val="24"/>
          <w:lang w:eastAsia="el-GR"/>
        </w:rPr>
        <w:t xml:space="preserve">ΘΕΜΑ: </w:t>
      </w:r>
      <w:bookmarkStart w:id="0" w:name="_GoBack"/>
      <w:r w:rsidRPr="00540B85">
        <w:rPr>
          <w:rFonts w:ascii="Times New Roman" w:eastAsia="Times New Roman" w:hAnsi="Times New Roman" w:cs="Times New Roman"/>
          <w:bCs/>
          <w:color w:val="333333"/>
          <w:sz w:val="24"/>
          <w:szCs w:val="24"/>
          <w:lang w:eastAsia="el-GR"/>
        </w:rPr>
        <w:t>Κατάργηση ένστασης του άρθρου 127</w:t>
      </w:r>
      <w:bookmarkEnd w:id="0"/>
    </w:p>
    <w:p w:rsidR="00540B85" w:rsidRPr="00540B85" w:rsidRDefault="00540B85" w:rsidP="00540B85">
      <w:pPr>
        <w:jc w:val="both"/>
        <w:rPr>
          <w:rFonts w:ascii="Times New Roman" w:hAnsi="Times New Roman" w:cs="Times New Roman"/>
          <w:sz w:val="24"/>
          <w:szCs w:val="24"/>
        </w:rPr>
      </w:pPr>
      <w:proofErr w:type="spellStart"/>
      <w:r w:rsidRPr="00540B85">
        <w:rPr>
          <w:rFonts w:ascii="Times New Roman" w:hAnsi="Times New Roman"/>
          <w:color w:val="000000"/>
          <w:sz w:val="24"/>
          <w:szCs w:val="24"/>
        </w:rPr>
        <w:t>Ημ</w:t>
      </w:r>
      <w:proofErr w:type="spellEnd"/>
      <w:r w:rsidRPr="00540B85">
        <w:rPr>
          <w:rFonts w:ascii="Times New Roman" w:hAnsi="Times New Roman"/>
          <w:color w:val="000000"/>
          <w:sz w:val="24"/>
          <w:szCs w:val="24"/>
        </w:rPr>
        <w:t>/</w:t>
      </w:r>
      <w:proofErr w:type="spellStart"/>
      <w:r w:rsidRPr="00540B85">
        <w:rPr>
          <w:rFonts w:ascii="Times New Roman" w:hAnsi="Times New Roman"/>
          <w:color w:val="000000"/>
          <w:sz w:val="24"/>
          <w:szCs w:val="24"/>
        </w:rPr>
        <w:t>νία</w:t>
      </w:r>
      <w:proofErr w:type="spellEnd"/>
      <w:r w:rsidRPr="00540B85">
        <w:rPr>
          <w:rFonts w:ascii="Times New Roman" w:hAnsi="Times New Roman"/>
          <w:color w:val="000000"/>
          <w:sz w:val="24"/>
          <w:szCs w:val="24"/>
        </w:rPr>
        <w:t xml:space="preserve"> υποβολής </w:t>
      </w:r>
      <w:r>
        <w:rPr>
          <w:rFonts w:ascii="Times New Roman" w:hAnsi="Times New Roman"/>
          <w:b/>
          <w:i/>
          <w:color w:val="7030A0"/>
          <w:sz w:val="24"/>
          <w:szCs w:val="24"/>
        </w:rPr>
        <w:t>19</w:t>
      </w:r>
      <w:r w:rsidRPr="00540B85">
        <w:rPr>
          <w:rFonts w:ascii="Times New Roman" w:hAnsi="Times New Roman"/>
          <w:b/>
          <w:i/>
          <w:color w:val="7030A0"/>
          <w:sz w:val="24"/>
          <w:szCs w:val="24"/>
        </w:rPr>
        <w:t>/0</w:t>
      </w:r>
      <w:r>
        <w:rPr>
          <w:rFonts w:ascii="Times New Roman" w:hAnsi="Times New Roman"/>
          <w:b/>
          <w:i/>
          <w:color w:val="7030A0"/>
          <w:sz w:val="24"/>
          <w:szCs w:val="24"/>
        </w:rPr>
        <w:t>7</w:t>
      </w:r>
      <w:r w:rsidRPr="00540B85">
        <w:rPr>
          <w:rFonts w:ascii="Times New Roman" w:hAnsi="Times New Roman"/>
          <w:b/>
          <w:i/>
          <w:color w:val="7030A0"/>
          <w:sz w:val="24"/>
          <w:szCs w:val="24"/>
        </w:rPr>
        <w:t>/202</w:t>
      </w:r>
      <w:r>
        <w:rPr>
          <w:rFonts w:ascii="Times New Roman" w:hAnsi="Times New Roman"/>
          <w:b/>
          <w:i/>
          <w:color w:val="7030A0"/>
          <w:sz w:val="24"/>
          <w:szCs w:val="24"/>
        </w:rPr>
        <w:t>2</w:t>
      </w:r>
    </w:p>
    <w:p w:rsidR="00540B85" w:rsidRPr="00540B85" w:rsidRDefault="00540B85" w:rsidP="00540B85">
      <w:pPr>
        <w:jc w:val="both"/>
        <w:rPr>
          <w:rFonts w:ascii="Times New Roman" w:hAnsi="Times New Roman" w:cs="Times New Roman"/>
          <w:b/>
          <w:sz w:val="24"/>
          <w:szCs w:val="24"/>
        </w:rPr>
      </w:pPr>
      <w:r w:rsidRPr="00540B85">
        <w:rPr>
          <w:rFonts w:ascii="Times New Roman" w:hAnsi="Times New Roman" w:cs="Times New Roman"/>
          <w:b/>
          <w:sz w:val="24"/>
          <w:szCs w:val="24"/>
        </w:rPr>
        <w:t xml:space="preserve">Ερώτηση: </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sz w:val="24"/>
          <w:szCs w:val="24"/>
        </w:rPr>
        <w:t>Σε διαδικασία απευθείας ανάθεσης, η πρόσκληση για υποβολή προσφοράς αναρτήθηκε στο ΚΗΜΔΗΣ 15-2-2022. Κατατέθηκαν δύο προσφορές. Η απόφαση ανάθεσης πάρθηκε από το ΔΣ και αναρτήθηκε 15-3-2022. Για την παραπάνω ανάθεση ισχύει η ένσταση του άρθρου 127 (δεδομένου ότι η διαδικασία εκκίνησε πριν την κατάργησή της);</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b/>
          <w:sz w:val="24"/>
          <w:szCs w:val="24"/>
        </w:rPr>
        <w:t>Απάντηση:</w:t>
      </w:r>
      <w:r w:rsidRPr="00540B85">
        <w:rPr>
          <w:rFonts w:ascii="Times New Roman" w:hAnsi="Times New Roman" w:cs="Times New Roman"/>
          <w:sz w:val="24"/>
          <w:szCs w:val="24"/>
        </w:rPr>
        <w:t xml:space="preserve"> Από την 1η-03-2022 τέθηκαν σε ισχύ οι διατάξεις του άρθρου 127 του ν. 4412/2016, όπως το τελευταίο αντικαταστάθηκε με το άρθρο 55 του ν.4782/2021 (</w:t>
      </w:r>
      <w:proofErr w:type="spellStart"/>
      <w:r w:rsidRPr="00540B85">
        <w:rPr>
          <w:rFonts w:ascii="Times New Roman" w:hAnsi="Times New Roman" w:cs="Times New Roman"/>
          <w:sz w:val="24"/>
          <w:szCs w:val="24"/>
        </w:rPr>
        <w:t>Πρβλ</w:t>
      </w:r>
      <w:proofErr w:type="spellEnd"/>
      <w:r w:rsidRPr="00540B85">
        <w:rPr>
          <w:rFonts w:ascii="Times New Roman" w:hAnsi="Times New Roman" w:cs="Times New Roman"/>
          <w:sz w:val="24"/>
          <w:szCs w:val="24"/>
        </w:rPr>
        <w:t>., ως προς τον χρόνο έναρξης ισχύος, το άρθρο 142 παρ.1ε του ν. 4782/2021,όπως τροποποιήθηκε με το άρθρο 57 του ν. 4825/2021).</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sz w:val="24"/>
          <w:szCs w:val="24"/>
        </w:rPr>
        <w:t>Αντιστοίχως τέθηκαν σε ισχύ και οι διατάξεις της παρ. 1 του άρθρου 345 του ν. 4412/2016, όπως τροποποιήθηκαν με το άρθρο 143 του ν.4782/2021 (</w:t>
      </w:r>
      <w:proofErr w:type="spellStart"/>
      <w:r w:rsidRPr="00540B85">
        <w:rPr>
          <w:rFonts w:ascii="Times New Roman" w:hAnsi="Times New Roman" w:cs="Times New Roman"/>
          <w:sz w:val="24"/>
          <w:szCs w:val="24"/>
        </w:rPr>
        <w:t>Πρβλ</w:t>
      </w:r>
      <w:proofErr w:type="spellEnd"/>
      <w:r w:rsidRPr="00540B85">
        <w:rPr>
          <w:rFonts w:ascii="Times New Roman" w:hAnsi="Times New Roman" w:cs="Times New Roman"/>
          <w:sz w:val="24"/>
          <w:szCs w:val="24"/>
        </w:rPr>
        <w:t>., ως προς τον χρόνο έναρξης ισχύος, το άρθρο 142 παρ.1 του ν. 4782/2021, όπως τροποποιήθηκε με το άρθρο 57 του ν. 4825/2021).</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sz w:val="24"/>
          <w:szCs w:val="24"/>
        </w:rPr>
        <w:t>Ειδικότερα, από τον συνδυασμό των ως άνω διατάξεων προκύπτουν τα ακόλουθα:</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sz w:val="24"/>
          <w:szCs w:val="24"/>
        </w:rPr>
        <w:t>Από την 01-03-2022 καταργείται η ένσταση στις διαδικασίες απευθείας ανάθεσης του άρθρου 118 του ν. 4412/2016, ανεξαρτήτως χρηματικού ορίου αυτής (30.000,00 ή 60.000,00 ευρώ, ανά περίπτωση) και οι σχετικές διαφορές, για τις εν λόγω διαδικασίες, υπόκεινται μόνο σε δικαστική προστασία ενώπιον του αρμόδιου Διοικητικού Εφετείου, σύμφωνα με τα ειδικότερα οριζόμενα στην παρ. 1 του άρθρου 127.</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sz w:val="24"/>
          <w:szCs w:val="24"/>
        </w:rPr>
        <w:t xml:space="preserve">Επισημαίνεται ότι, κατόπιν της ως άνω νομοθετικής μεταβολής, οι διαφορές που αναφύονται από συμβάσεις που ανατίθενται με οποιαδήποτε διαδικασία (πλην της απευθείας ανάθεσης) με εκτιμώμενη αξία ανώτερη των 30.000,00 ευρώ και έως 60.000,000 ευρώ χωρίς ΦΠΑ υπόκεινται εφεξής σε προδικαστική προσφυγή ενώπιον της ΑΕΠΠ και </w:t>
      </w:r>
      <w:proofErr w:type="spellStart"/>
      <w:r w:rsidRPr="00540B85">
        <w:rPr>
          <w:rFonts w:ascii="Times New Roman" w:hAnsi="Times New Roman" w:cs="Times New Roman"/>
          <w:sz w:val="24"/>
          <w:szCs w:val="24"/>
        </w:rPr>
        <w:t>κατ</w:t>
      </w:r>
      <w:proofErr w:type="spellEnd"/>
      <w:r w:rsidRPr="00540B85">
        <w:rPr>
          <w:rFonts w:ascii="Times New Roman" w:hAnsi="Times New Roman" w:cs="Times New Roman"/>
          <w:sz w:val="24"/>
          <w:szCs w:val="24"/>
        </w:rPr>
        <w:t xml:space="preserve">΄ επέκταση τυγχάνουν εφαρμογής οι διατάξεις του Βιβλίου IV του ν. 4412/2016, σε αντίθεση με τις </w:t>
      </w:r>
      <w:proofErr w:type="spellStart"/>
      <w:r w:rsidRPr="00540B85">
        <w:rPr>
          <w:rFonts w:ascii="Times New Roman" w:hAnsi="Times New Roman" w:cs="Times New Roman"/>
          <w:sz w:val="24"/>
          <w:szCs w:val="24"/>
        </w:rPr>
        <w:t>προϊσχύουσες</w:t>
      </w:r>
      <w:proofErr w:type="spellEnd"/>
      <w:r w:rsidRPr="00540B85">
        <w:rPr>
          <w:rFonts w:ascii="Times New Roman" w:hAnsi="Times New Roman" w:cs="Times New Roman"/>
          <w:sz w:val="24"/>
          <w:szCs w:val="24"/>
        </w:rPr>
        <w:t xml:space="preserve"> διατάξεις, σύμφωνα με τις οποίες σε προδικαστική προσφυγή υπόκειντο διαφορές από συμβάσεις με εκτιμώμενη αξία ανώτερη των 60.000,00 ευρώ.</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sz w:val="24"/>
          <w:szCs w:val="24"/>
        </w:rPr>
        <w:t>Από το ως άνω χρονικό σημείο (01-03-2022),σύμφωνα με τα οριζόμενα στην παρ. 2 του άρθρου 127, ειδικά ως προς τα ζητήματα έννομης προστασίας για δημόσιες συμβάσεις του άρθρου 119, περί συμβάσεων ενεργειών τεχνικής βοήθειας:</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sz w:val="24"/>
          <w:szCs w:val="24"/>
        </w:rPr>
        <w:t>α) με εκτιμώμενη αξία άνω των εξήντα χιλιάδων (60.000) ευρώ, εφαρμόζεται το Βιβλίο IV,</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sz w:val="24"/>
          <w:szCs w:val="24"/>
        </w:rPr>
        <w:t>β) με εκτιμώμενη αξία έως και εξήντα χιλιάδων (60.000) ευρώ, εφαρμόζεται η παρ. 1. του άρθρου 127,</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sz w:val="24"/>
          <w:szCs w:val="24"/>
        </w:rPr>
        <w:t>Τέλος τίθεται σε ισχύ, από 01-03-2022, και η περ. α της παρ. 11 του άρθρου 221 του ν. 4412/2016, όπως τροποποιήθηκε με το άρθρο 108 του ν.4782/2021, από την οποία απαλείφονται τα εδάφια ως προς τις Επιτροπές Ενστάσεων, σε συνέχεια και των ως άνω νομοθετικών μεταβολών για την κατάργηση των ενστάσεων (</w:t>
      </w:r>
      <w:proofErr w:type="spellStart"/>
      <w:r w:rsidRPr="00540B85">
        <w:rPr>
          <w:rFonts w:ascii="Times New Roman" w:hAnsi="Times New Roman" w:cs="Times New Roman"/>
          <w:sz w:val="24"/>
          <w:szCs w:val="24"/>
        </w:rPr>
        <w:t>Πρβλ</w:t>
      </w:r>
      <w:proofErr w:type="spellEnd"/>
      <w:r w:rsidRPr="00540B85">
        <w:rPr>
          <w:rFonts w:ascii="Times New Roman" w:hAnsi="Times New Roman" w:cs="Times New Roman"/>
          <w:sz w:val="24"/>
          <w:szCs w:val="24"/>
        </w:rPr>
        <w:t xml:space="preserve">. ως προς την </w:t>
      </w:r>
      <w:r w:rsidRPr="00540B85">
        <w:rPr>
          <w:rFonts w:ascii="Times New Roman" w:hAnsi="Times New Roman" w:cs="Times New Roman"/>
          <w:sz w:val="24"/>
          <w:szCs w:val="24"/>
        </w:rPr>
        <w:lastRenderedPageBreak/>
        <w:t>έναρξη ισχύος το άρθρο 142 ν.4782/2021 παρ.1ε` και 2 όπως τροποποιήθηκε με το άρθρο 57  Ν.4825/2021)</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sz w:val="24"/>
          <w:szCs w:val="24"/>
        </w:rPr>
        <w:t>Επισημαίνεται ότι τα ως άνω ισχύουν αναλογικά, από 01-03-2022, και για τις συμβάσεις του  Βιβλίου ΙΙ, σύμφωνα με το άρθρο 333Α, όπως το τελευταίο αντικαταστάθηκε με το άρθρο 131 του ν.4782/2021. (</w:t>
      </w:r>
      <w:proofErr w:type="spellStart"/>
      <w:r w:rsidRPr="00540B85">
        <w:rPr>
          <w:rFonts w:ascii="Times New Roman" w:hAnsi="Times New Roman" w:cs="Times New Roman"/>
          <w:sz w:val="24"/>
          <w:szCs w:val="24"/>
        </w:rPr>
        <w:t>Aνακοίνωση</w:t>
      </w:r>
      <w:proofErr w:type="spellEnd"/>
      <w:r w:rsidRPr="00540B85">
        <w:rPr>
          <w:rFonts w:ascii="Times New Roman" w:hAnsi="Times New Roman" w:cs="Times New Roman"/>
          <w:sz w:val="24"/>
          <w:szCs w:val="24"/>
        </w:rPr>
        <w:t xml:space="preserve"> Ε.Α.Α.ΔΗ.ΣΥ. 04.03.2022)</w:t>
      </w:r>
    </w:p>
    <w:p w:rsidR="00540B85" w:rsidRPr="00540B85" w:rsidRDefault="00540B85" w:rsidP="00540B85">
      <w:pPr>
        <w:jc w:val="both"/>
        <w:rPr>
          <w:rFonts w:ascii="Times New Roman" w:hAnsi="Times New Roman" w:cs="Times New Roman"/>
          <w:sz w:val="24"/>
          <w:szCs w:val="24"/>
        </w:rPr>
      </w:pPr>
      <w:r w:rsidRPr="00540B85">
        <w:rPr>
          <w:rFonts w:ascii="Times New Roman" w:hAnsi="Times New Roman" w:cs="Times New Roman"/>
          <w:sz w:val="24"/>
          <w:szCs w:val="24"/>
        </w:rPr>
        <w:t>Επομένως για διαφορές που αναφύονται μετά την 1/03/2022 σε διαδικασίες απευθείας ανάθεσης του άρθρου 118 του ν. 4412/2016 εφαρμόζονται τα προβλεπόμενα στο άρθρο 127 του ν. 4412/2016, όπως το τελευταίο αντικαταστάθηκε με το άρθρο 55 του ν.4782/2021.</w:t>
      </w:r>
    </w:p>
    <w:p w:rsidR="003D5CBF" w:rsidRPr="00540B85" w:rsidRDefault="003D5CBF" w:rsidP="00540B85">
      <w:pPr>
        <w:jc w:val="both"/>
        <w:rPr>
          <w:rFonts w:ascii="Times New Roman" w:hAnsi="Times New Roman" w:cs="Times New Roman"/>
          <w:sz w:val="24"/>
          <w:szCs w:val="24"/>
        </w:rPr>
      </w:pPr>
    </w:p>
    <w:sectPr w:rsidR="003D5CBF" w:rsidRPr="00540B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85"/>
    <w:rsid w:val="003D5CBF"/>
    <w:rsid w:val="00540B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B92B"/>
  <w15:chartTrackingRefBased/>
  <w15:docId w15:val="{F7B557DB-0BC5-4275-BD8A-A168E46E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2777</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2025-03-25T13:46:00Z</dcterms:created>
  <dcterms:modified xsi:type="dcterms:W3CDTF">2025-03-25T13:49:00Z</dcterms:modified>
</cp:coreProperties>
</file>