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01E98" w14:textId="221AA15C" w:rsidR="00BD1381" w:rsidRPr="00BD1381" w:rsidRDefault="004F25CD" w:rsidP="00BD1381">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0009201E">
        <w:rPr>
          <w:rFonts w:ascii="Times New Roman" w:hAnsi="Times New Roman" w:cs="Times New Roman"/>
          <w:b/>
          <w:bCs/>
          <w:sz w:val="24"/>
          <w:szCs w:val="24"/>
        </w:rPr>
        <w:t>:</w:t>
      </w:r>
      <w:bookmarkStart w:id="0" w:name="_GoBack"/>
      <w:bookmarkEnd w:id="0"/>
      <w:r w:rsidR="0009201E" w:rsidRPr="0009201E">
        <w:t xml:space="preserve"> </w:t>
      </w:r>
      <w:r w:rsidR="0009201E" w:rsidRPr="0009201E">
        <w:rPr>
          <w:rFonts w:ascii="Times New Roman" w:hAnsi="Times New Roman" w:cs="Times New Roman"/>
          <w:b/>
          <w:bCs/>
          <w:sz w:val="24"/>
          <w:szCs w:val="24"/>
        </w:rPr>
        <w:t>Βεβαίωση ΠΟΥ περί μη υπέρβασης του ποσού των προς Απευθείας Ανάθεση Συμβάσεων</w:t>
      </w:r>
    </w:p>
    <w:p w14:paraId="4515B69E" w14:textId="2C28380B" w:rsidR="00BD1381" w:rsidRPr="00BD1381" w:rsidRDefault="00BD1381" w:rsidP="00BD1381">
      <w:pPr>
        <w:jc w:val="both"/>
        <w:rPr>
          <w:rFonts w:ascii="Times New Roman" w:hAnsi="Times New Roman" w:cs="Times New Roman"/>
          <w:sz w:val="24"/>
          <w:szCs w:val="24"/>
        </w:rPr>
      </w:pPr>
      <w:proofErr w:type="spellStart"/>
      <w:r w:rsidRPr="00BD1381">
        <w:rPr>
          <w:rFonts w:ascii="Times New Roman" w:hAnsi="Times New Roman" w:cs="Times New Roman"/>
          <w:sz w:val="24"/>
          <w:szCs w:val="24"/>
        </w:rPr>
        <w:t>Ημ</w:t>
      </w:r>
      <w:proofErr w:type="spellEnd"/>
      <w:r w:rsidRPr="00BD1381">
        <w:rPr>
          <w:rFonts w:ascii="Times New Roman" w:hAnsi="Times New Roman" w:cs="Times New Roman"/>
          <w:sz w:val="24"/>
          <w:szCs w:val="24"/>
        </w:rPr>
        <w:t>/</w:t>
      </w:r>
      <w:proofErr w:type="spellStart"/>
      <w:r w:rsidRPr="00BD1381">
        <w:rPr>
          <w:rFonts w:ascii="Times New Roman" w:hAnsi="Times New Roman" w:cs="Times New Roman"/>
          <w:sz w:val="24"/>
          <w:szCs w:val="24"/>
        </w:rPr>
        <w:t>νία</w:t>
      </w:r>
      <w:proofErr w:type="spellEnd"/>
      <w:r w:rsidRPr="00BD1381">
        <w:rPr>
          <w:rFonts w:ascii="Times New Roman" w:hAnsi="Times New Roman" w:cs="Times New Roman"/>
          <w:sz w:val="24"/>
          <w:szCs w:val="24"/>
        </w:rPr>
        <w:t xml:space="preserve"> υποβολής </w:t>
      </w:r>
      <w:r w:rsidRPr="004F25CD">
        <w:rPr>
          <w:rFonts w:ascii="Times New Roman" w:hAnsi="Times New Roman" w:cs="Times New Roman"/>
          <w:b/>
          <w:i/>
          <w:color w:val="7030A0"/>
          <w:sz w:val="24"/>
          <w:szCs w:val="24"/>
        </w:rPr>
        <w:t>21/09/2022</w:t>
      </w:r>
    </w:p>
    <w:p w14:paraId="17C7ABD4" w14:textId="77777777" w:rsidR="00BD1381" w:rsidRDefault="00BD1381" w:rsidP="00BD1381">
      <w:pPr>
        <w:jc w:val="both"/>
        <w:rPr>
          <w:rFonts w:ascii="Times New Roman" w:hAnsi="Times New Roman" w:cs="Times New Roman"/>
          <w:sz w:val="24"/>
          <w:szCs w:val="24"/>
        </w:rPr>
      </w:pPr>
    </w:p>
    <w:p w14:paraId="7A6B3BEE" w14:textId="5DF0264D" w:rsidR="00BD1381" w:rsidRPr="004F25CD" w:rsidRDefault="00BD1381" w:rsidP="00BD1381">
      <w:pPr>
        <w:jc w:val="both"/>
        <w:rPr>
          <w:rFonts w:ascii="Times New Roman" w:hAnsi="Times New Roman" w:cs="Times New Roman"/>
          <w:b/>
          <w:sz w:val="24"/>
          <w:szCs w:val="24"/>
        </w:rPr>
      </w:pPr>
      <w:r w:rsidRPr="004F25CD">
        <w:rPr>
          <w:rFonts w:ascii="Times New Roman" w:hAnsi="Times New Roman" w:cs="Times New Roman"/>
          <w:b/>
          <w:sz w:val="24"/>
          <w:szCs w:val="24"/>
        </w:rPr>
        <w:t xml:space="preserve">Ερώτηση </w:t>
      </w:r>
    </w:p>
    <w:p w14:paraId="6C437643" w14:textId="77777777" w:rsidR="00C821AF" w:rsidRDefault="00BD1381" w:rsidP="00BD1381">
      <w:pPr>
        <w:jc w:val="both"/>
        <w:rPr>
          <w:rFonts w:ascii="Times New Roman" w:hAnsi="Times New Roman" w:cs="Times New Roman"/>
          <w:sz w:val="24"/>
          <w:szCs w:val="24"/>
        </w:rPr>
      </w:pPr>
      <w:r w:rsidRPr="00BD1381">
        <w:rPr>
          <w:rFonts w:ascii="Times New Roman" w:hAnsi="Times New Roman" w:cs="Times New Roman"/>
          <w:sz w:val="24"/>
          <w:szCs w:val="24"/>
        </w:rPr>
        <w:t xml:space="preserve">Σύμφωνα με τις διατάξεις του άρθρου 118 παρ.5 του Ν.4412/2016, όπως τροποποιήθηκε από το άρθρο 50 του Ν.4782/2021: 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 </w:t>
      </w:r>
    </w:p>
    <w:p w14:paraId="3590BF93" w14:textId="77777777" w:rsidR="00C821AF" w:rsidRDefault="00BD1381" w:rsidP="00BD1381">
      <w:pPr>
        <w:jc w:val="both"/>
        <w:rPr>
          <w:rFonts w:ascii="Times New Roman" w:hAnsi="Times New Roman" w:cs="Times New Roman"/>
          <w:sz w:val="24"/>
          <w:szCs w:val="24"/>
        </w:rPr>
      </w:pPr>
      <w:r w:rsidRPr="00BD1381">
        <w:rPr>
          <w:rFonts w:ascii="Times New Roman" w:hAnsi="Times New Roman" w:cs="Times New Roman"/>
          <w:sz w:val="24"/>
          <w:szCs w:val="24"/>
        </w:rPr>
        <w:t xml:space="preserve">Συγκεκριμένα το μέγιστο όριο του ποσού που μπορεί να συνάπτει η Αναθέτουσα Αρχή ανέρχεται στο 10% των πιστώσεών του κατ` έτος, </w:t>
      </w:r>
      <w:proofErr w:type="spellStart"/>
      <w:r w:rsidRPr="00BD1381">
        <w:rPr>
          <w:rFonts w:ascii="Times New Roman" w:hAnsi="Times New Roman" w:cs="Times New Roman"/>
          <w:sz w:val="24"/>
          <w:szCs w:val="24"/>
        </w:rPr>
        <w:t>δλδ</w:t>
      </w:r>
      <w:proofErr w:type="spellEnd"/>
      <w:r w:rsidRPr="00BD1381">
        <w:rPr>
          <w:rFonts w:ascii="Times New Roman" w:hAnsi="Times New Roman" w:cs="Times New Roman"/>
          <w:sz w:val="24"/>
          <w:szCs w:val="24"/>
        </w:rPr>
        <w:t xml:space="preserve"> 10% επί του ποσού που είναι εγγεγραμμένο στο Τεχνικό Πρόγραμμα του Δήμου του τρέχοντος έτους. </w:t>
      </w:r>
    </w:p>
    <w:p w14:paraId="0E52ACE9" w14:textId="77777777" w:rsidR="00C821AF" w:rsidRDefault="00BD1381" w:rsidP="00BD1381">
      <w:pPr>
        <w:jc w:val="both"/>
        <w:rPr>
          <w:rFonts w:ascii="Times New Roman" w:hAnsi="Times New Roman" w:cs="Times New Roman"/>
          <w:sz w:val="24"/>
          <w:szCs w:val="24"/>
        </w:rPr>
      </w:pPr>
      <w:r w:rsidRPr="00BD1381">
        <w:rPr>
          <w:rFonts w:ascii="Times New Roman" w:hAnsi="Times New Roman" w:cs="Times New Roman"/>
          <w:sz w:val="24"/>
          <w:szCs w:val="24"/>
        </w:rPr>
        <w:t xml:space="preserve">Ερώτημα </w:t>
      </w:r>
    </w:p>
    <w:p w14:paraId="387A7D11" w14:textId="14C013D4" w:rsidR="00D21DFC" w:rsidRDefault="00BD1381" w:rsidP="00BD1381">
      <w:pPr>
        <w:jc w:val="both"/>
        <w:rPr>
          <w:rFonts w:ascii="Times New Roman" w:hAnsi="Times New Roman" w:cs="Times New Roman"/>
          <w:sz w:val="24"/>
          <w:szCs w:val="24"/>
        </w:rPr>
      </w:pPr>
      <w:r w:rsidRPr="00BD1381">
        <w:rPr>
          <w:rFonts w:ascii="Times New Roman" w:hAnsi="Times New Roman" w:cs="Times New Roman"/>
          <w:sz w:val="24"/>
          <w:szCs w:val="24"/>
        </w:rPr>
        <w:t>Το ποσοστό 10% αφορά όλο το ποσό της σύμβασης ή αν είναι συνεχιζόμενη αφορά μόνο κατά το μέρος που βαρύνει τον τρέχοντα προϋπολογισμό( ετήσιο) και το υπόλοιπο το επόμενο έτος; Ευχαριστούμε για τη συνεργασία Με εκτίμηση</w:t>
      </w:r>
    </w:p>
    <w:p w14:paraId="69EE2428" w14:textId="500DD669" w:rsidR="00C821AF" w:rsidRPr="004F25CD" w:rsidRDefault="00C821AF" w:rsidP="00BD1381">
      <w:pPr>
        <w:jc w:val="both"/>
        <w:rPr>
          <w:rFonts w:ascii="Times New Roman" w:hAnsi="Times New Roman" w:cs="Times New Roman"/>
          <w:b/>
          <w:sz w:val="24"/>
          <w:szCs w:val="24"/>
        </w:rPr>
      </w:pPr>
      <w:r w:rsidRPr="004F25CD">
        <w:rPr>
          <w:rFonts w:ascii="Times New Roman" w:hAnsi="Times New Roman" w:cs="Times New Roman"/>
          <w:b/>
          <w:sz w:val="24"/>
          <w:szCs w:val="24"/>
        </w:rPr>
        <w:t xml:space="preserve">Απάντηση: </w:t>
      </w:r>
    </w:p>
    <w:p w14:paraId="7D7F19C3" w14:textId="0289F014" w:rsidR="003C50B5" w:rsidRPr="003C50B5" w:rsidRDefault="003C50B5" w:rsidP="00C821AF">
      <w:pPr>
        <w:jc w:val="both"/>
        <w:rPr>
          <w:rFonts w:ascii="Times New Roman" w:hAnsi="Times New Roman" w:cs="Times New Roman"/>
          <w:sz w:val="24"/>
          <w:szCs w:val="24"/>
        </w:rPr>
      </w:pPr>
      <w:r>
        <w:rPr>
          <w:rFonts w:ascii="Times New Roman" w:hAnsi="Times New Roman" w:cs="Times New Roman"/>
          <w:sz w:val="24"/>
          <w:szCs w:val="24"/>
        </w:rPr>
        <w:t xml:space="preserve">Σύμφωνα με το </w:t>
      </w:r>
      <w:r w:rsidRPr="003C50B5">
        <w:rPr>
          <w:rFonts w:ascii="Times New Roman" w:hAnsi="Times New Roman" w:cs="Times New Roman"/>
          <w:sz w:val="24"/>
          <w:szCs w:val="24"/>
        </w:rPr>
        <w:t xml:space="preserve">4ο Πρακτικό της Ομάδας Εργασίας που συγκροτήθηκε με την με αριθ. </w:t>
      </w:r>
      <w:proofErr w:type="spellStart"/>
      <w:r w:rsidRPr="003C50B5">
        <w:rPr>
          <w:rFonts w:ascii="Times New Roman" w:hAnsi="Times New Roman" w:cs="Times New Roman"/>
          <w:sz w:val="24"/>
          <w:szCs w:val="24"/>
        </w:rPr>
        <w:t>πρωτ</w:t>
      </w:r>
      <w:proofErr w:type="spellEnd"/>
      <w:r w:rsidRPr="003C50B5">
        <w:rPr>
          <w:rFonts w:ascii="Times New Roman" w:hAnsi="Times New Roman" w:cs="Times New Roman"/>
          <w:sz w:val="24"/>
          <w:szCs w:val="24"/>
        </w:rPr>
        <w:t>. 74177/22.03.2021 απόφαση του Γενικού Γραμματέα Υποδομών του Υπουργείου Υποδομών και Μεταφορών (ΑΔΑ: Ψ4ΜΙ465ΞΘΞ-ΗΣΤ), όπως τροποποιήθηκε με την υπ’ αριθ. 155641/14.6.2021 Απόφαση του Γενικού Γραμματέα Υποδομών του Υπουργείου Υποδομών και Μεταφορών (ΑΔΑ: 9ΕΨ4465ΧΘΞ-9ΣΖ)</w:t>
      </w:r>
      <w:r w:rsidRPr="003C50B5">
        <w:t xml:space="preserve"> </w:t>
      </w:r>
      <w:r>
        <w:t>(</w:t>
      </w:r>
      <w:r w:rsidRPr="003C50B5">
        <w:rPr>
          <w:rFonts w:ascii="Times New Roman" w:hAnsi="Times New Roman" w:cs="Times New Roman"/>
          <w:sz w:val="24"/>
          <w:szCs w:val="24"/>
        </w:rPr>
        <w:t>Ε</w:t>
      </w:r>
      <w:r>
        <w:rPr>
          <w:rFonts w:ascii="Times New Roman" w:hAnsi="Times New Roman" w:cs="Times New Roman"/>
          <w:sz w:val="24"/>
          <w:szCs w:val="24"/>
        </w:rPr>
        <w:t>ρώτημα</w:t>
      </w:r>
      <w:r w:rsidRPr="003C50B5">
        <w:rPr>
          <w:rFonts w:ascii="Times New Roman" w:hAnsi="Times New Roman" w:cs="Times New Roman"/>
          <w:sz w:val="24"/>
          <w:szCs w:val="24"/>
        </w:rPr>
        <w:t xml:space="preserve"> 1</w:t>
      </w:r>
      <w:r w:rsidRPr="003C50B5">
        <w:rPr>
          <w:rFonts w:ascii="Times New Roman" w:hAnsi="Times New Roman" w:cs="Times New Roman"/>
          <w:sz w:val="24"/>
          <w:szCs w:val="24"/>
          <w:vertAlign w:val="superscript"/>
        </w:rPr>
        <w:t>ο</w:t>
      </w:r>
      <w:r>
        <w:rPr>
          <w:rFonts w:ascii="Times New Roman" w:hAnsi="Times New Roman" w:cs="Times New Roman"/>
          <w:sz w:val="24"/>
          <w:szCs w:val="24"/>
        </w:rPr>
        <w:t>)</w:t>
      </w:r>
      <w:r w:rsidRPr="003C50B5">
        <w:rPr>
          <w:rFonts w:ascii="Times New Roman" w:hAnsi="Times New Roman" w:cs="Times New Roman"/>
          <w:sz w:val="24"/>
          <w:szCs w:val="24"/>
        </w:rPr>
        <w:t>:</w:t>
      </w:r>
    </w:p>
    <w:p w14:paraId="4E802F41" w14:textId="77777777" w:rsidR="003C50B5" w:rsidRPr="003C50B5" w:rsidRDefault="003C50B5" w:rsidP="003C50B5">
      <w:pPr>
        <w:pStyle w:val="-HTML"/>
        <w:shd w:val="clear" w:color="auto" w:fill="FFFFFF"/>
        <w:jc w:val="both"/>
        <w:rPr>
          <w:rFonts w:ascii="Times New Roman" w:hAnsi="Times New Roman" w:cs="Times New Roman"/>
          <w:sz w:val="24"/>
          <w:szCs w:val="24"/>
        </w:rPr>
      </w:pPr>
      <w:bookmarkStart w:id="1" w:name="_Hlk83973369"/>
      <w:bookmarkStart w:id="2" w:name="_Hlk83819353"/>
      <w:r w:rsidRPr="003C50B5">
        <w:rPr>
          <w:rFonts w:ascii="Times New Roman" w:hAnsi="Times New Roman" w:cs="Times New Roman"/>
          <w:sz w:val="24"/>
          <w:szCs w:val="24"/>
        </w:rPr>
        <w:t xml:space="preserve">Με τις άνω </w:t>
      </w:r>
      <w:proofErr w:type="spellStart"/>
      <w:r w:rsidRPr="003C50B5">
        <w:rPr>
          <w:rFonts w:ascii="Times New Roman" w:hAnsi="Times New Roman" w:cs="Times New Roman"/>
          <w:sz w:val="24"/>
          <w:szCs w:val="24"/>
        </w:rPr>
        <w:t>παρατεθείσες</w:t>
      </w:r>
      <w:proofErr w:type="spellEnd"/>
      <w:r w:rsidRPr="003C50B5">
        <w:rPr>
          <w:rFonts w:ascii="Times New Roman" w:hAnsi="Times New Roman" w:cs="Times New Roman"/>
          <w:sz w:val="24"/>
          <w:szCs w:val="24"/>
        </w:rPr>
        <w:t xml:space="preserve"> διατάξεις τίθενται σχηματικά </w:t>
      </w:r>
      <w:r w:rsidRPr="003C50B5">
        <w:rPr>
          <w:rFonts w:ascii="Times New Roman" w:hAnsi="Times New Roman" w:cs="Times New Roman"/>
          <w:b/>
          <w:bCs/>
          <w:sz w:val="24"/>
          <w:szCs w:val="24"/>
        </w:rPr>
        <w:t>δύο αθροιστικά εφαρμοζόμενες απαγορεύσεις για την απευθείας ανάθεση συμβάσεων έργων, μελετών και παροχής τεχνικών και λοιπών συναφών επιστημονικών υπηρεσιών</w:t>
      </w:r>
      <w:r w:rsidRPr="003C50B5">
        <w:rPr>
          <w:rFonts w:ascii="Times New Roman" w:hAnsi="Times New Roman" w:cs="Times New Roman"/>
          <w:sz w:val="24"/>
          <w:szCs w:val="24"/>
        </w:rPr>
        <w:t xml:space="preserve">, με την πρώτη να εισάγει ρητή απαγόρευση σύναψης όμοιας σύμβασης για διάστημα 12 μηνών, </w:t>
      </w:r>
      <w:bookmarkEnd w:id="1"/>
      <w:r w:rsidRPr="003C50B5">
        <w:rPr>
          <w:rFonts w:ascii="Times New Roman" w:hAnsi="Times New Roman" w:cs="Times New Roman"/>
          <w:sz w:val="24"/>
          <w:szCs w:val="24"/>
        </w:rPr>
        <w:t xml:space="preserve">της προθεσμίας να εκκινεί από την επομένη της υπογραφής της αρχικής σύμβασης, όχι μόνο με τον επιλεγέντα οικονομικό φορέα αλλά και με κάθε φυσικό ή νομικό πρόσωπο ελεγχόμενο από αυτόν και η δεύτερη η ετήσια ανάθεση τέτοιων συμβάσεων να μην υπερβαίνει σε ποσοστό το δέκα τοις εκατό (10%) των πιστώσεων της αναθέτουσας αρχής για τέτοιες συμβάσεις, </w:t>
      </w:r>
      <w:r w:rsidRPr="003C50B5">
        <w:rPr>
          <w:rFonts w:ascii="Times New Roman" w:hAnsi="Times New Roman" w:cs="Times New Roman"/>
          <w:b/>
          <w:bCs/>
          <w:color w:val="7030A0"/>
          <w:sz w:val="24"/>
          <w:szCs w:val="24"/>
        </w:rPr>
        <w:t>ήτοι βάση υπολογισμού του άνω ορίου αποτελεί ο προϋπολογισμός της κάθε αναθέτουσας αρχής για τέτοιες συμβάσεις και όχι ο συνολικός της προϋπολογισμός</w:t>
      </w:r>
      <w:r w:rsidRPr="003C50B5">
        <w:rPr>
          <w:rFonts w:ascii="Times New Roman" w:hAnsi="Times New Roman" w:cs="Times New Roman"/>
          <w:sz w:val="24"/>
          <w:szCs w:val="24"/>
        </w:rPr>
        <w:t xml:space="preserve">. Από την επισκόπηση των εν λόγω διατάξεων </w:t>
      </w:r>
      <w:r w:rsidRPr="003C50B5">
        <w:rPr>
          <w:rFonts w:ascii="Times New Roman" w:hAnsi="Times New Roman" w:cs="Times New Roman"/>
          <w:b/>
          <w:bCs/>
          <w:color w:val="7030A0"/>
          <w:sz w:val="24"/>
          <w:szCs w:val="24"/>
        </w:rPr>
        <w:t>δεν προκύπτει ότι, εισάγεται οιαδήποτε παρέκκλιση σχετική με τις πηγές χρηματοδότησης των ανατιθέμενων ως άνω συμβάσεων και συνεπώς δεν δύναται να υποστηριχθεί ότι τυχόν χρηματοδότηση αυτών από άλλες πηγές (συγχρηματοδοτούμενα, δανειακές συμβάσεις κ.λπ.) κάμπτουν τις άνω ρητές απαγορεύσεις</w:t>
      </w:r>
      <w:r w:rsidRPr="003C50B5">
        <w:rPr>
          <w:rFonts w:ascii="Times New Roman" w:hAnsi="Times New Roman" w:cs="Times New Roman"/>
          <w:sz w:val="24"/>
          <w:szCs w:val="24"/>
        </w:rPr>
        <w:t>.</w:t>
      </w:r>
      <w:bookmarkEnd w:id="2"/>
      <w:r w:rsidRPr="003C50B5">
        <w:rPr>
          <w:rFonts w:ascii="Times New Roman" w:hAnsi="Times New Roman" w:cs="Times New Roman"/>
          <w:sz w:val="24"/>
          <w:szCs w:val="24"/>
        </w:rPr>
        <w:t xml:space="preserve"> Σε τούτο κατατείνει τόσο η ρύθμιση της παρ. 6 του ιδίου άρθρου που εισάγει παρέκκλιση για συμβάσεις υλοποίησης δράσεων που αφορούν στην υλοποίηση </w:t>
      </w:r>
      <w:r w:rsidRPr="003C50B5">
        <w:rPr>
          <w:rFonts w:ascii="Times New Roman" w:hAnsi="Times New Roman" w:cs="Times New Roman"/>
          <w:sz w:val="24"/>
          <w:szCs w:val="24"/>
        </w:rPr>
        <w:lastRenderedPageBreak/>
        <w:t xml:space="preserve">έργων ΤΠΕ με αντικείμενο την εξασφάλιση της </w:t>
      </w:r>
      <w:proofErr w:type="spellStart"/>
      <w:r w:rsidRPr="003C50B5">
        <w:rPr>
          <w:rFonts w:ascii="Times New Roman" w:hAnsi="Times New Roman" w:cs="Times New Roman"/>
          <w:sz w:val="24"/>
          <w:szCs w:val="24"/>
        </w:rPr>
        <w:t>διαλειτουργικότητας</w:t>
      </w:r>
      <w:proofErr w:type="spellEnd"/>
      <w:r w:rsidRPr="003C50B5">
        <w:rPr>
          <w:rFonts w:ascii="Times New Roman" w:hAnsi="Times New Roman" w:cs="Times New Roman"/>
          <w:sz w:val="24"/>
          <w:szCs w:val="24"/>
        </w:rPr>
        <w:t xml:space="preserve"> των ψηφιακών υπηρεσιών ή τον εκσυγχρονισμό των ψηφιακών εργαλείων της Κεντρικής Διοίκησης, μόνο ως προς το ποσό, όσο και του άρθρου 52 ν. 4782/2021 «Συμβάσεις ενεργειών τεχνικής βοήθειας -Τροποποίηση του τίτλου και των παρ. 2, 3, 6, 7 και 8, κατάργηση της παρ. 5 και προσθήκη παρ. 9 και 10 στο άρθρο 119 του ν. 4412/2016» που επίσης δεν εισάγει την οιαδήποτε παρέκκλιση ως προς του απαγορευτικούς κανόνες των άνω κρίσιμων διατάξεων των παρ. των παρ. 4 και 5. </w:t>
      </w:r>
    </w:p>
    <w:p w14:paraId="4C86EEB8" w14:textId="797E086C" w:rsidR="00C821AF" w:rsidRPr="00C821AF" w:rsidRDefault="00C821AF" w:rsidP="00C821AF">
      <w:pPr>
        <w:jc w:val="both"/>
        <w:rPr>
          <w:rFonts w:ascii="Times New Roman" w:hAnsi="Times New Roman" w:cs="Times New Roman"/>
          <w:sz w:val="24"/>
          <w:szCs w:val="24"/>
        </w:rPr>
      </w:pPr>
      <w:r w:rsidRPr="00C821AF">
        <w:rPr>
          <w:rFonts w:ascii="Times New Roman" w:hAnsi="Times New Roman" w:cs="Times New Roman"/>
          <w:sz w:val="24"/>
          <w:szCs w:val="24"/>
        </w:rPr>
        <w:t>Ο νόμος δεν κάνει διαχωρισμό ανάλογα με την πηγή χρηματοδότησης, συνεπώς θεωρούμε ότι το ποσοστό του 10% θα πρέπει να ληφθεί σε σχέση με τις συνολικές εγγραφές στο Τεχνικό Πρόγραμμα του φορέα, ανεξάρτητα της πηγής χρηματοδότησης. Εάν ήθελε ο νομοθέτης να κάνει διαχωρισμό θα το όριζε ρητά.</w:t>
      </w:r>
    </w:p>
    <w:p w14:paraId="38D8A52D" w14:textId="51969229" w:rsidR="00C821AF" w:rsidRPr="00BD1381" w:rsidRDefault="00C821AF" w:rsidP="00C821AF">
      <w:pPr>
        <w:jc w:val="both"/>
        <w:rPr>
          <w:rFonts w:ascii="Times New Roman" w:hAnsi="Times New Roman" w:cs="Times New Roman"/>
          <w:sz w:val="24"/>
          <w:szCs w:val="24"/>
        </w:rPr>
      </w:pPr>
      <w:r w:rsidRPr="00C821AF">
        <w:rPr>
          <w:rFonts w:ascii="Times New Roman" w:hAnsi="Times New Roman" w:cs="Times New Roman"/>
          <w:sz w:val="24"/>
          <w:szCs w:val="24"/>
        </w:rPr>
        <w:t>Όσον αφορά τις πολυετείς συμβάσεις, το ποσό που θα ληφθεί υπόψη είναι το ποσό που αφορά το τρέχον έτος. Ούτως ή άλλως στο Τεχνικό Πρόγραμμα και στον Προϋπολογισμό πρέπει να αναγράφονται μόνο εκείνα τα τμήματα - ποσά του έργου που αφορούν τη δαπάνη του έτους αυτού και όχι το σύνολο της δαπάνης του έργου.</w:t>
      </w:r>
    </w:p>
    <w:sectPr w:rsidR="00C821AF" w:rsidRPr="00BD13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81"/>
    <w:rsid w:val="0009201E"/>
    <w:rsid w:val="000B022B"/>
    <w:rsid w:val="003C50B5"/>
    <w:rsid w:val="004F25CD"/>
    <w:rsid w:val="00653EB0"/>
    <w:rsid w:val="00BD1381"/>
    <w:rsid w:val="00C821AF"/>
    <w:rsid w:val="00D21D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3567"/>
  <w15:chartTrackingRefBased/>
  <w15:docId w15:val="{A838CE2D-E93D-4605-BCDC-FAD8A242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D1381"/>
    <w:rPr>
      <w:color w:val="0563C1" w:themeColor="hyperlink"/>
      <w:u w:val="single"/>
    </w:rPr>
  </w:style>
  <w:style w:type="character" w:customStyle="1" w:styleId="UnresolvedMention">
    <w:name w:val="Unresolved Mention"/>
    <w:basedOn w:val="a0"/>
    <w:uiPriority w:val="99"/>
    <w:semiHidden/>
    <w:unhideWhenUsed/>
    <w:rsid w:val="00BD1381"/>
    <w:rPr>
      <w:color w:val="605E5C"/>
      <w:shd w:val="clear" w:color="auto" w:fill="E1DFDD"/>
    </w:rPr>
  </w:style>
  <w:style w:type="character" w:customStyle="1" w:styleId="-HTMLChar">
    <w:name w:val="Προ-διαμορφωμένο HTML Char"/>
    <w:link w:val="-HTML"/>
    <w:uiPriority w:val="99"/>
    <w:qFormat/>
    <w:rsid w:val="003C50B5"/>
    <w:rPr>
      <w:rFonts w:ascii="Consolas" w:hAnsi="Consolas" w:cs="Consolas"/>
    </w:rPr>
  </w:style>
  <w:style w:type="paragraph" w:styleId="-HTML">
    <w:name w:val="HTML Preformatted"/>
    <w:basedOn w:val="a"/>
    <w:link w:val="-HTMLChar"/>
    <w:uiPriority w:val="99"/>
    <w:unhideWhenUsed/>
    <w:qFormat/>
    <w:rsid w:val="003C50B5"/>
    <w:pPr>
      <w:widowControl w:val="0"/>
      <w:autoSpaceDE w:val="0"/>
      <w:autoSpaceDN w:val="0"/>
      <w:adjustRightInd w:val="0"/>
    </w:pPr>
    <w:rPr>
      <w:rFonts w:ascii="Consolas" w:hAnsi="Consolas" w:cs="Consolas"/>
    </w:rPr>
  </w:style>
  <w:style w:type="character" w:customStyle="1" w:styleId="-HTMLChar1">
    <w:name w:val="Προ-διαμορφωμένο HTML Char1"/>
    <w:basedOn w:val="a0"/>
    <w:uiPriority w:val="99"/>
    <w:semiHidden/>
    <w:rsid w:val="003C50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3178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4</cp:revision>
  <dcterms:created xsi:type="dcterms:W3CDTF">2022-09-23T09:50:00Z</dcterms:created>
  <dcterms:modified xsi:type="dcterms:W3CDTF">2025-03-25T09:30:00Z</dcterms:modified>
</cp:coreProperties>
</file>