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E1AF55" w14:textId="54BC5961" w:rsidR="00E85786" w:rsidRDefault="00E85786" w:rsidP="00E85786">
      <w:pPr>
        <w:jc w:val="both"/>
        <w:rPr>
          <w:rFonts w:ascii="Times New Roman" w:hAnsi="Times New Roman" w:cs="Times New Roman"/>
          <w:bCs/>
          <w:sz w:val="24"/>
          <w:szCs w:val="24"/>
        </w:rPr>
      </w:pPr>
      <w:r w:rsidRPr="00334AC7">
        <w:rPr>
          <w:rFonts w:ascii="Times New Roman" w:hAnsi="Times New Roman" w:cs="Times New Roman"/>
          <w:b/>
          <w:bCs/>
          <w:sz w:val="24"/>
          <w:szCs w:val="24"/>
        </w:rPr>
        <w:t xml:space="preserve">ΘΕΜΑ : </w:t>
      </w:r>
      <w:r w:rsidRPr="00E85786">
        <w:rPr>
          <w:rFonts w:ascii="Times New Roman" w:hAnsi="Times New Roman" w:cs="Times New Roman"/>
          <w:bCs/>
          <w:sz w:val="24"/>
          <w:szCs w:val="24"/>
        </w:rPr>
        <w:t>Απευθείας ανάθεση Έργων και Υπηρεσιών ύψους 30000 έως 60000 ευρώ</w:t>
      </w:r>
    </w:p>
    <w:p w14:paraId="511031CF" w14:textId="77777777" w:rsidR="00E85786" w:rsidRPr="00334AC7" w:rsidRDefault="00E85786" w:rsidP="00E85786">
      <w:pPr>
        <w:jc w:val="both"/>
        <w:rPr>
          <w:rFonts w:ascii="Times New Roman" w:hAnsi="Times New Roman" w:cs="Times New Roman"/>
          <w:color w:val="000000"/>
          <w:sz w:val="24"/>
          <w:szCs w:val="24"/>
        </w:rPr>
      </w:pPr>
      <w:r w:rsidRPr="00334AC7">
        <w:rPr>
          <w:rFonts w:ascii="Times New Roman" w:hAnsi="Times New Roman" w:cs="Times New Roman"/>
          <w:color w:val="000000"/>
          <w:sz w:val="24"/>
          <w:szCs w:val="24"/>
        </w:rPr>
        <w:t xml:space="preserve">Ημ/νία υποβολής </w:t>
      </w:r>
      <w:r w:rsidRPr="00334AC7">
        <w:rPr>
          <w:rFonts w:ascii="Times New Roman" w:hAnsi="Times New Roman" w:cs="Times New Roman"/>
          <w:b/>
          <w:i/>
          <w:color w:val="7030A0"/>
          <w:sz w:val="24"/>
          <w:szCs w:val="24"/>
        </w:rPr>
        <w:t>05/08/202</w:t>
      </w:r>
      <w:r>
        <w:rPr>
          <w:rFonts w:ascii="Times New Roman" w:hAnsi="Times New Roman" w:cs="Times New Roman"/>
          <w:b/>
          <w:i/>
          <w:color w:val="7030A0"/>
          <w:sz w:val="24"/>
          <w:szCs w:val="24"/>
        </w:rPr>
        <w:t>4</w:t>
      </w:r>
    </w:p>
    <w:p w14:paraId="793CF7AB" w14:textId="3CE9E8B0" w:rsidR="00DD52B4" w:rsidRPr="00E704B7" w:rsidRDefault="00DD52B4" w:rsidP="00E704B7">
      <w:pPr>
        <w:spacing w:line="240" w:lineRule="auto"/>
        <w:jc w:val="both"/>
        <w:rPr>
          <w:rFonts w:ascii="Times New Roman" w:eastAsia="Times New Roman" w:hAnsi="Times New Roman" w:cs="Times New Roman"/>
          <w:b/>
          <w:bCs/>
          <w:noProof w:val="0"/>
          <w:color w:val="333333"/>
          <w:sz w:val="24"/>
          <w:szCs w:val="24"/>
          <w:lang w:eastAsia="el-GR"/>
        </w:rPr>
      </w:pPr>
      <w:bookmarkStart w:id="0" w:name="_GoBack"/>
      <w:bookmarkEnd w:id="0"/>
      <w:r w:rsidRPr="00E704B7">
        <w:rPr>
          <w:rFonts w:ascii="Times New Roman" w:eastAsia="Times New Roman" w:hAnsi="Times New Roman" w:cs="Times New Roman"/>
          <w:b/>
          <w:bCs/>
          <w:noProof w:val="0"/>
          <w:color w:val="333333"/>
          <w:sz w:val="24"/>
          <w:szCs w:val="24"/>
          <w:highlight w:val="yellow"/>
          <w:lang w:eastAsia="el-GR"/>
        </w:rPr>
        <w:t>Ερώτηση</w:t>
      </w:r>
      <w:r w:rsidR="00E704B7" w:rsidRPr="00E704B7">
        <w:rPr>
          <w:rFonts w:ascii="Times New Roman" w:eastAsia="Times New Roman" w:hAnsi="Times New Roman" w:cs="Times New Roman"/>
          <w:b/>
          <w:bCs/>
          <w:noProof w:val="0"/>
          <w:color w:val="333333"/>
          <w:sz w:val="24"/>
          <w:szCs w:val="24"/>
          <w:highlight w:val="yellow"/>
          <w:lang w:eastAsia="el-GR"/>
        </w:rPr>
        <w:t xml:space="preserve"> 1</w:t>
      </w:r>
      <w:r w:rsidRPr="00E704B7">
        <w:rPr>
          <w:rFonts w:ascii="Times New Roman" w:eastAsia="Times New Roman" w:hAnsi="Times New Roman" w:cs="Times New Roman"/>
          <w:b/>
          <w:bCs/>
          <w:noProof w:val="0"/>
          <w:color w:val="333333"/>
          <w:sz w:val="24"/>
          <w:szCs w:val="24"/>
          <w:highlight w:val="yellow"/>
          <w:lang w:eastAsia="el-GR"/>
        </w:rPr>
        <w:t>:</w:t>
      </w:r>
      <w:r w:rsidRPr="00E704B7">
        <w:rPr>
          <w:rFonts w:ascii="Times New Roman" w:eastAsia="Times New Roman" w:hAnsi="Times New Roman" w:cs="Times New Roman"/>
          <w:b/>
          <w:bCs/>
          <w:noProof w:val="0"/>
          <w:color w:val="333333"/>
          <w:sz w:val="24"/>
          <w:szCs w:val="24"/>
          <w:lang w:eastAsia="el-GR"/>
        </w:rPr>
        <w:t xml:space="preserve"> </w:t>
      </w:r>
    </w:p>
    <w:p w14:paraId="30FCBA3E" w14:textId="2206C840" w:rsidR="00DD52B4" w:rsidRPr="00E704B7" w:rsidRDefault="00DD52B4" w:rsidP="00E704B7">
      <w:pPr>
        <w:spacing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Στο Άρθρο 118 του ΒΙΒΛΙΟΥ Ι του 4412/16 «Απευθείας ανάθεση», όπως αυτό τροποποιήθηκε και ισχύει σήμερα αναφέρει αυτολεξεί: </w:t>
      </w:r>
    </w:p>
    <w:p w14:paraId="6A81B9BB" w14:textId="77777777" w:rsidR="00DD52B4" w:rsidRPr="00E704B7" w:rsidRDefault="00DD52B4" w:rsidP="00E704B7">
      <w:pPr>
        <w:spacing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i/>
          <w:iCs/>
          <w:noProof w:val="0"/>
          <w:color w:val="333333"/>
          <w:sz w:val="24"/>
          <w:szCs w:val="24"/>
          <w:lang w:eastAsia="el-GR"/>
        </w:rPr>
        <w:t>«1. 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r w:rsidRPr="00E704B7">
        <w:rPr>
          <w:rFonts w:ascii="Times New Roman" w:eastAsia="Times New Roman" w:hAnsi="Times New Roman" w:cs="Times New Roman"/>
          <w:noProof w:val="0"/>
          <w:color w:val="333333"/>
          <w:sz w:val="24"/>
          <w:szCs w:val="24"/>
          <w:lang w:eastAsia="el-GR"/>
        </w:rPr>
        <w:t xml:space="preserve"> </w:t>
      </w:r>
    </w:p>
    <w:p w14:paraId="0DBF39A4" w14:textId="77777777" w:rsidR="00DD52B4" w:rsidRPr="00E704B7" w:rsidRDefault="00DD52B4" w:rsidP="00E704B7">
      <w:pPr>
        <w:pStyle w:val="a3"/>
        <w:numPr>
          <w:ilvl w:val="0"/>
          <w:numId w:val="2"/>
        </w:numPr>
        <w:spacing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Το όριο της απευθείας ανάθεσης έργου του Βιβλίου Ι είναι 30.000,00 Ευρώ και μόνο στην εφαρμογή των άρθρων 107 -110 αυξάνεται στις 60.000,00 Ευρώ? </w:t>
      </w:r>
    </w:p>
    <w:p w14:paraId="7C1301F8" w14:textId="77777777" w:rsidR="00DD52B4" w:rsidRPr="00E704B7" w:rsidRDefault="00DD52B4" w:rsidP="00E704B7">
      <w:pPr>
        <w:pStyle w:val="a3"/>
        <w:numPr>
          <w:ilvl w:val="0"/>
          <w:numId w:val="2"/>
        </w:numPr>
        <w:spacing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Στο Βιβλίο ΙΙ ποιο είναι το όριο? Το «,» στο συγκεκριμένο σημείο μπορεί να ερμηνευτεί ότι έργα και υπηρεσίες των άρθρων 107-110 έχουν όριο απευθείας ανάθεσης 60.000,00 Ευρώ. Τα άρθρα 107-110 όμως, αφορούν κοινωνικές και άλλες ειδικές υπηρεσίες όπως αυτές αναφέρονται στο Παράρτημα XIV του νόμου και όχι σε έργα!</w:t>
      </w:r>
    </w:p>
    <w:p w14:paraId="003F8C8C"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b/>
          <w:bCs/>
          <w:noProof w:val="0"/>
          <w:color w:val="333333"/>
          <w:sz w:val="24"/>
          <w:szCs w:val="24"/>
          <w:lang w:eastAsia="el-GR"/>
        </w:rPr>
      </w:pPr>
      <w:r w:rsidRPr="00E704B7">
        <w:rPr>
          <w:rFonts w:ascii="Times New Roman" w:eastAsia="Times New Roman" w:hAnsi="Times New Roman" w:cs="Times New Roman"/>
          <w:b/>
          <w:bCs/>
          <w:noProof w:val="0"/>
          <w:color w:val="333333"/>
          <w:sz w:val="24"/>
          <w:szCs w:val="24"/>
          <w:lang w:eastAsia="el-GR"/>
        </w:rPr>
        <w:t>Απάντηση:</w:t>
      </w:r>
    </w:p>
    <w:p w14:paraId="20FF774E"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Γενικώς η προσφυγή στη διαδικασία της απευθείας ανάθεσης επιτρέπεται, όταν η εκτιμώμενη αξία της σύμβασης, είναι ίση ή κατώτερη από το όριο των τριάντα χιλιάδων (30.000) ευρώ.</w:t>
      </w:r>
    </w:p>
    <w:p w14:paraId="0390B7C5"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b/>
          <w:bCs/>
          <w:noProof w:val="0"/>
          <w:color w:val="333333"/>
          <w:sz w:val="24"/>
          <w:szCs w:val="24"/>
          <w:lang w:eastAsia="el-GR"/>
        </w:rPr>
        <w:t>Απευθείας ανάθεση Έργων και Υπηρεσιών ύψους 30.000 έως 60.000 ευρώ</w:t>
      </w:r>
    </w:p>
    <w:p w14:paraId="61E6A68E"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Σύμφωνα με τις προβλέψεις του </w:t>
      </w:r>
      <w:proofErr w:type="spellStart"/>
      <w:r w:rsidRPr="00E704B7">
        <w:rPr>
          <w:rFonts w:ascii="Times New Roman" w:eastAsia="Times New Roman" w:hAnsi="Times New Roman" w:cs="Times New Roman"/>
          <w:noProof w:val="0"/>
          <w:color w:val="333333"/>
          <w:sz w:val="24"/>
          <w:szCs w:val="24"/>
          <w:lang w:eastAsia="el-GR"/>
        </w:rPr>
        <w:t>Άρ</w:t>
      </w:r>
      <w:proofErr w:type="spellEnd"/>
      <w:r w:rsidRPr="00E704B7">
        <w:rPr>
          <w:rFonts w:ascii="Times New Roman" w:eastAsia="Times New Roman" w:hAnsi="Times New Roman" w:cs="Times New Roman"/>
          <w:noProof w:val="0"/>
          <w:color w:val="333333"/>
          <w:sz w:val="24"/>
          <w:szCs w:val="24"/>
          <w:lang w:eastAsia="el-GR"/>
        </w:rPr>
        <w:t>. 118, η προσφυγή στις διαδικασίες Απευθείας αναθέσεις Δημοσίων Συμβάσεων ύψους 30.000 έως 60.000 ευρώ μπορούν να πραγματοποιηθεί:</w:t>
      </w:r>
    </w:p>
    <w:p w14:paraId="689072F2" w14:textId="77777777" w:rsidR="00DD52B4" w:rsidRPr="00E704B7" w:rsidRDefault="00DD52B4" w:rsidP="00E704B7">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Είτε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 </w:t>
      </w:r>
      <w:r w:rsidRPr="00E704B7">
        <w:rPr>
          <w:rFonts w:ascii="Times New Roman" w:eastAsia="Times New Roman" w:hAnsi="Times New Roman" w:cs="Times New Roman"/>
          <w:i/>
          <w:iCs/>
          <w:noProof w:val="0"/>
          <w:color w:val="333333"/>
          <w:sz w:val="24"/>
          <w:szCs w:val="24"/>
          <w:lang w:eastAsia="el-GR"/>
        </w:rPr>
        <w:t>(παρ.1)</w:t>
      </w:r>
      <w:r w:rsidRPr="00E704B7">
        <w:rPr>
          <w:rFonts w:ascii="Times New Roman" w:eastAsia="Times New Roman" w:hAnsi="Times New Roman" w:cs="Times New Roman"/>
          <w:noProof w:val="0"/>
          <w:color w:val="333333"/>
          <w:sz w:val="24"/>
          <w:szCs w:val="24"/>
          <w:lang w:eastAsia="el-GR"/>
        </w:rPr>
        <w:t xml:space="preserve"> </w:t>
      </w:r>
    </w:p>
    <w:p w14:paraId="08969432" w14:textId="77777777" w:rsidR="00DD52B4" w:rsidRPr="00E704B7" w:rsidRDefault="00DD52B4" w:rsidP="00E704B7">
      <w:pPr>
        <w:numPr>
          <w:ilvl w:val="0"/>
          <w:numId w:val="1"/>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Είτε κατά παρέκκλιση της παρ. 1,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sidRPr="00E704B7">
        <w:rPr>
          <w:rFonts w:ascii="Times New Roman" w:eastAsia="Times New Roman" w:hAnsi="Times New Roman" w:cs="Times New Roman"/>
          <w:noProof w:val="0"/>
          <w:color w:val="333333"/>
          <w:sz w:val="24"/>
          <w:szCs w:val="24"/>
          <w:lang w:eastAsia="el-GR"/>
        </w:rPr>
        <w:t>διαλειτουργικότητας</w:t>
      </w:r>
      <w:proofErr w:type="spellEnd"/>
      <w:r w:rsidRPr="00E704B7">
        <w:rPr>
          <w:rFonts w:ascii="Times New Roman" w:eastAsia="Times New Roman" w:hAnsi="Times New Roman" w:cs="Times New Roman"/>
          <w:noProof w:val="0"/>
          <w:color w:val="333333"/>
          <w:sz w:val="24"/>
          <w:szCs w:val="24"/>
          <w:lang w:eastAsia="el-GR"/>
        </w:rPr>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 η οποία </w:t>
      </w:r>
      <w:proofErr w:type="spellStart"/>
      <w:r w:rsidRPr="00E704B7">
        <w:rPr>
          <w:rFonts w:ascii="Times New Roman" w:eastAsia="Times New Roman" w:hAnsi="Times New Roman" w:cs="Times New Roman"/>
          <w:noProof w:val="0"/>
          <w:color w:val="333333"/>
          <w:sz w:val="24"/>
          <w:szCs w:val="24"/>
          <w:lang w:eastAsia="el-GR"/>
        </w:rPr>
        <w:t>σημειωτέον</w:t>
      </w:r>
      <w:proofErr w:type="spellEnd"/>
      <w:r w:rsidRPr="00E704B7">
        <w:rPr>
          <w:rFonts w:ascii="Times New Roman" w:eastAsia="Times New Roman" w:hAnsi="Times New Roman" w:cs="Times New Roman"/>
          <w:noProof w:val="0"/>
          <w:color w:val="333333"/>
          <w:sz w:val="24"/>
          <w:szCs w:val="24"/>
          <w:lang w:eastAsia="el-GR"/>
        </w:rPr>
        <w:t xml:space="preserve"> είναι επιτρεπτή κατόπιν έκδοσης διαπιστωτικής πράξης από τον Υπουργό Ψηφιακής Διακυβέρνησης, μετά από αίτηση της αναθέτουσας αρχής, που υποβάλλεται στο Υπουργείο Ψηφιακής Διακυβέρνησης </w:t>
      </w:r>
      <w:r w:rsidRPr="00E704B7">
        <w:rPr>
          <w:rFonts w:ascii="Times New Roman" w:eastAsia="Times New Roman" w:hAnsi="Times New Roman" w:cs="Times New Roman"/>
          <w:i/>
          <w:iCs/>
          <w:noProof w:val="0"/>
          <w:color w:val="333333"/>
          <w:sz w:val="24"/>
          <w:szCs w:val="24"/>
          <w:lang w:eastAsia="el-GR"/>
        </w:rPr>
        <w:t>(παρ.6)</w:t>
      </w:r>
    </w:p>
    <w:p w14:paraId="13BFF352"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E704B7">
        <w:rPr>
          <w:rFonts w:ascii="Times New Roman" w:eastAsia="Times New Roman" w:hAnsi="Times New Roman" w:cs="Times New Roman"/>
          <w:noProof w:val="0"/>
          <w:color w:val="333333"/>
          <w:sz w:val="24"/>
          <w:szCs w:val="24"/>
          <w:lang w:eastAsia="el-GR"/>
        </w:rPr>
        <w:lastRenderedPageBreak/>
        <w:t>Σημειωτέον</w:t>
      </w:r>
      <w:proofErr w:type="spellEnd"/>
      <w:r w:rsidRPr="00E704B7">
        <w:rPr>
          <w:rFonts w:ascii="Times New Roman" w:eastAsia="Times New Roman" w:hAnsi="Times New Roman" w:cs="Times New Roman"/>
          <w:noProof w:val="0"/>
          <w:color w:val="333333"/>
          <w:sz w:val="24"/>
          <w:szCs w:val="24"/>
          <w:lang w:eastAsia="el-GR"/>
        </w:rPr>
        <w:t>, ότι σύμφωνα με τα δύο τελευταία εδάφια της παρ. (3) (περ. β΄) του Άρθ. 120, 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ενώ δεν αξιολογούνται προσφορές οικονομικών φορέων που δεν προσκλήθηκαν να υποβάλουν προσφορά.</w:t>
      </w:r>
    </w:p>
    <w:p w14:paraId="45E64A42"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b/>
          <w:bCs/>
          <w:noProof w:val="0"/>
          <w:color w:val="333333"/>
          <w:sz w:val="24"/>
          <w:szCs w:val="24"/>
          <w:lang w:eastAsia="el-GR"/>
        </w:rPr>
        <w:t>Απευθείας Αναθέσεις ΑΦ του Βιβλίου ΙΙ (άρθρο 328)</w:t>
      </w:r>
    </w:p>
    <w:p w14:paraId="2EBBAC08" w14:textId="77777777" w:rsidR="00DD52B4" w:rsidRPr="00E704B7" w:rsidRDefault="00DD52B4"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Οι ανωτέρω παρατηρήσεις ισχύουν αναλογικά και για το άρθρο 128 Ν. 4782/2021 με το οποίο τροποποιείται το αντίστοιχο άρθρο 328 του Βιβλίου ΙΙ, με την επισήμανση ότι στο τροποποιημένο άρθρο 328 </w:t>
      </w:r>
      <w:r w:rsidRPr="00E704B7">
        <w:rPr>
          <w:rFonts w:ascii="Times New Roman" w:eastAsia="Times New Roman" w:hAnsi="Times New Roman" w:cs="Times New Roman"/>
          <w:b/>
          <w:bCs/>
          <w:noProof w:val="0"/>
          <w:color w:val="333333"/>
          <w:sz w:val="24"/>
          <w:szCs w:val="24"/>
          <w:lang w:eastAsia="el-GR"/>
        </w:rPr>
        <w:t>δεν προβλέπεται</w:t>
      </w:r>
      <w:r w:rsidRPr="00E704B7">
        <w:rPr>
          <w:rFonts w:ascii="Times New Roman" w:eastAsia="Times New Roman" w:hAnsi="Times New Roman" w:cs="Times New Roman"/>
          <w:noProof w:val="0"/>
          <w:color w:val="333333"/>
          <w:sz w:val="24"/>
          <w:szCs w:val="24"/>
          <w:lang w:eastAsia="el-GR"/>
        </w:rPr>
        <w:t xml:space="preserve"> η ρύθμιση για την υπογραφή συμφωνητικού καθώς και οι ρυθμίσεις των παρ. 4 και 5 του </w:t>
      </w:r>
      <w:proofErr w:type="spellStart"/>
      <w:r w:rsidRPr="00E704B7">
        <w:rPr>
          <w:rFonts w:ascii="Times New Roman" w:eastAsia="Times New Roman" w:hAnsi="Times New Roman" w:cs="Times New Roman"/>
          <w:noProof w:val="0"/>
          <w:color w:val="333333"/>
          <w:sz w:val="24"/>
          <w:szCs w:val="24"/>
          <w:lang w:eastAsia="el-GR"/>
        </w:rPr>
        <w:t>Άρ</w:t>
      </w:r>
      <w:proofErr w:type="spellEnd"/>
      <w:r w:rsidRPr="00E704B7">
        <w:rPr>
          <w:rFonts w:ascii="Times New Roman" w:eastAsia="Times New Roman" w:hAnsi="Times New Roman" w:cs="Times New Roman"/>
          <w:noProof w:val="0"/>
          <w:color w:val="333333"/>
          <w:sz w:val="24"/>
          <w:szCs w:val="24"/>
          <w:lang w:eastAsia="el-GR"/>
        </w:rPr>
        <w:t>. 188, ενώ παραμένει σε ισχύ η διάταξη «η απευθείας ανάθεση σε συγκεκριμένο οικονομικό φορέα γίνεται με κριτήριο τη δυνατότητα της καλής και έγκαιρης εκτέλεσης της σύμβασης από τον ανάδοχο και την οικονομική του προσφορά», η οποία δεν προβλέπεται στο άρθρο 118.</w:t>
      </w:r>
    </w:p>
    <w:p w14:paraId="373D5B5D" w14:textId="7FA3B1B0" w:rsidR="00AB0864" w:rsidRPr="00E704B7" w:rsidRDefault="00AB0864" w:rsidP="00AB0864">
      <w:pPr>
        <w:spacing w:line="240" w:lineRule="auto"/>
        <w:jc w:val="both"/>
        <w:rPr>
          <w:rFonts w:ascii="Times New Roman" w:eastAsia="Times New Roman" w:hAnsi="Times New Roman" w:cs="Times New Roman"/>
          <w:b/>
          <w:bCs/>
          <w:noProof w:val="0"/>
          <w:color w:val="333333"/>
          <w:sz w:val="24"/>
          <w:szCs w:val="24"/>
          <w:highlight w:val="yellow"/>
          <w:lang w:eastAsia="el-GR"/>
        </w:rPr>
      </w:pPr>
      <w:r w:rsidRPr="00E704B7">
        <w:rPr>
          <w:rFonts w:ascii="Times New Roman" w:eastAsia="Times New Roman" w:hAnsi="Times New Roman" w:cs="Times New Roman"/>
          <w:b/>
          <w:bCs/>
          <w:noProof w:val="0"/>
          <w:color w:val="333333"/>
          <w:sz w:val="24"/>
          <w:szCs w:val="24"/>
          <w:highlight w:val="yellow"/>
          <w:lang w:eastAsia="el-GR"/>
        </w:rPr>
        <w:t xml:space="preserve">Ερώτηση </w:t>
      </w:r>
      <w:r>
        <w:rPr>
          <w:rFonts w:ascii="Times New Roman" w:eastAsia="Times New Roman" w:hAnsi="Times New Roman" w:cs="Times New Roman"/>
          <w:b/>
          <w:bCs/>
          <w:noProof w:val="0"/>
          <w:color w:val="333333"/>
          <w:sz w:val="24"/>
          <w:szCs w:val="24"/>
          <w:highlight w:val="yellow"/>
          <w:lang w:eastAsia="el-GR"/>
        </w:rPr>
        <w:t>2</w:t>
      </w:r>
      <w:r w:rsidRPr="00E704B7">
        <w:rPr>
          <w:rFonts w:ascii="Times New Roman" w:eastAsia="Times New Roman" w:hAnsi="Times New Roman" w:cs="Times New Roman"/>
          <w:b/>
          <w:bCs/>
          <w:noProof w:val="0"/>
          <w:color w:val="333333"/>
          <w:sz w:val="24"/>
          <w:szCs w:val="24"/>
          <w:highlight w:val="yellow"/>
          <w:lang w:eastAsia="el-GR"/>
        </w:rPr>
        <w:t xml:space="preserve">: </w:t>
      </w:r>
    </w:p>
    <w:p w14:paraId="79A90764" w14:textId="66911BE9" w:rsidR="00AB0864" w:rsidRDefault="00AB0864" w:rsidP="00AB0864">
      <w:pPr>
        <w:jc w:val="both"/>
        <w:rPr>
          <w:rFonts w:ascii="Times New Roman" w:hAnsi="Times New Roman" w:cs="Times New Roman"/>
          <w:sz w:val="24"/>
          <w:szCs w:val="24"/>
        </w:rPr>
      </w:pPr>
      <w:r>
        <w:rPr>
          <w:rFonts w:ascii="Times New Roman" w:hAnsi="Times New Roman" w:cs="Times New Roman"/>
          <w:sz w:val="24"/>
          <w:szCs w:val="24"/>
        </w:rPr>
        <w:t>Παρακαλώ όπως με ενημερώσετε αν στη διαδικασία της απευθείας ανάθεσης έργων μέχρι 60000 ευρώ συγκροτείται επιτροπή για το άνοιγμα των προσφορών οι οποίες κατατίθενται μέσω ΕΣΗΔΗΣ .</w:t>
      </w:r>
    </w:p>
    <w:p w14:paraId="648D8342" w14:textId="77777777" w:rsidR="00AB0864" w:rsidRDefault="00AB0864" w:rsidP="00AB0864">
      <w:pPr>
        <w:jc w:val="both"/>
        <w:rPr>
          <w:rFonts w:ascii="Times New Roman" w:hAnsi="Times New Roman" w:cs="Times New Roman"/>
          <w:b/>
          <w:bCs/>
          <w:sz w:val="24"/>
          <w:szCs w:val="24"/>
        </w:rPr>
      </w:pPr>
      <w:r>
        <w:rPr>
          <w:rFonts w:ascii="Times New Roman" w:hAnsi="Times New Roman" w:cs="Times New Roman"/>
          <w:b/>
          <w:bCs/>
          <w:sz w:val="24"/>
          <w:szCs w:val="24"/>
        </w:rPr>
        <w:t>Απάντηση :</w:t>
      </w:r>
    </w:p>
    <w:p w14:paraId="23F1659A" w14:textId="77777777" w:rsidR="00AB0864" w:rsidRDefault="00AB0864" w:rsidP="00AB0864">
      <w:pPr>
        <w:spacing w:line="240" w:lineRule="auto"/>
        <w:rPr>
          <w:rFonts w:ascii="Calibri" w:eastAsia="Times New Roman" w:hAnsi="Calibri" w:cs="Calibri"/>
          <w:lang w:eastAsia="el-GR"/>
        </w:rPr>
      </w:pPr>
      <w:r>
        <w:rPr>
          <w:rFonts w:ascii="Times New Roman" w:eastAsia="Times New Roman" w:hAnsi="Times New Roman" w:cs="Times New Roman"/>
          <w:sz w:val="24"/>
          <w:szCs w:val="24"/>
          <w:u w:val="single"/>
          <w:lang w:eastAsia="el-GR"/>
        </w:rPr>
        <w:t xml:space="preserve">Αρμόδιο Όργανο διενέργειας απευθείας ανάθεσης : </w:t>
      </w:r>
    </w:p>
    <w:p w14:paraId="7ED38AA0" w14:textId="77777777" w:rsidR="00AB0864" w:rsidRDefault="00AB0864" w:rsidP="00AB0864">
      <w:pPr>
        <w:spacing w:line="240" w:lineRule="auto"/>
        <w:rPr>
          <w:rFonts w:ascii="Calibri" w:eastAsia="Times New Roman" w:hAnsi="Calibri" w:cs="Calibri"/>
          <w:lang w:eastAsia="el-GR"/>
        </w:rPr>
      </w:pPr>
      <w:r>
        <w:rPr>
          <w:rFonts w:ascii="Times New Roman" w:eastAsia="Times New Roman" w:hAnsi="Times New Roman" w:cs="Times New Roman"/>
          <w:sz w:val="24"/>
          <w:szCs w:val="24"/>
          <w:lang w:eastAsia="el-GR"/>
        </w:rPr>
        <w:t xml:space="preserve">Η απευθείας ανάθεση έργων, μέχρι 60.000,00 € χωρίς ΦΠΑ διενεργείται από τις αρμόδιες για την ανάθεση της σύμβασης υπηρεσίες της αναθέτουσας αρχής, χωρίς να απαιτείται γνωμοδότηση συλλογικού οργάνου (παρ. 2 Άρθ. 118) </w:t>
      </w:r>
    </w:p>
    <w:p w14:paraId="147A197C" w14:textId="77777777" w:rsidR="00AB0864" w:rsidRDefault="00AB0864" w:rsidP="00AB0864">
      <w:pPr>
        <w:spacing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Η Οικονομική επιτροπή «ασκεί καθήκοντα αναθέτουσας αρχής για τις συμβάσεις έργου, μελετών, υπηρεσιών και προμηθειών, ανεξαρτήτως προϋπολογισμού πλην των περιπτώσεων που υπάγονται στην αρμοδιότητα του Δημάρχου για την απευθείας ανάθεση» (άρθρο 3 παρ. ιδ του Ν. 4623/2019)</w:t>
      </w:r>
    </w:p>
    <w:p w14:paraId="2B30592E" w14:textId="77777777" w:rsidR="00AB0864" w:rsidRDefault="00AB0864" w:rsidP="00AB0864">
      <w:pPr>
        <w:spacing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sz w:val="24"/>
          <w:szCs w:val="24"/>
          <w:lang w:eastAsia="el-GR"/>
        </w:rPr>
        <w:t>Συνεπώς στους Δήμους αρμόδιο όργανο είναι ο Δήμαρχος.</w:t>
      </w:r>
    </w:p>
    <w:p w14:paraId="78D9F6D9" w14:textId="77777777" w:rsidR="00AB0864" w:rsidRDefault="00AB0864" w:rsidP="00AB0864">
      <w:pPr>
        <w:spacing w:line="240" w:lineRule="auto"/>
        <w:rPr>
          <w:rFonts w:ascii="Times New Roman" w:eastAsia="Times New Roman" w:hAnsi="Times New Roman" w:cs="Times New Roman"/>
          <w:sz w:val="24"/>
          <w:szCs w:val="24"/>
          <w:u w:val="single"/>
          <w:lang w:eastAsia="el-GR"/>
        </w:rPr>
      </w:pPr>
      <w:r>
        <w:rPr>
          <w:rFonts w:ascii="Times New Roman" w:eastAsia="Times New Roman" w:hAnsi="Times New Roman" w:cs="Times New Roman"/>
          <w:sz w:val="24"/>
          <w:szCs w:val="24"/>
          <w:u w:val="single"/>
          <w:lang w:eastAsia="el-GR"/>
        </w:rPr>
        <w:t>Αξιολόγηση Προσφορών</w:t>
      </w:r>
    </w:p>
    <w:p w14:paraId="5CDFEB6D" w14:textId="77777777" w:rsidR="00AB0864" w:rsidRDefault="00AB0864" w:rsidP="00AB0864">
      <w:pPr>
        <w:spacing w:line="254" w:lineRule="auto"/>
        <w:jc w:val="both"/>
        <w:rPr>
          <w:rFonts w:ascii="Calibri" w:eastAsia="Times New Roman" w:hAnsi="Calibri" w:cs="Calibri"/>
          <w:lang w:eastAsia="el-GR"/>
        </w:rPr>
      </w:pPr>
      <w:r>
        <w:rPr>
          <w:rFonts w:ascii="Times New Roman" w:eastAsia="Times New Roman" w:hAnsi="Times New Roman" w:cs="Times New Roman"/>
          <w:sz w:val="24"/>
          <w:szCs w:val="24"/>
          <w:lang w:eastAsia="el-GR"/>
        </w:rPr>
        <w:t xml:space="preserve">Η αξιολόγηση θα γίνεται από το χειριστή, δηλ. τους Τεχνικούς υπαλλήλους της Αναθέτουσας Αρχής και, κατόπιν Εισήγησης αυτών η Απόφαση για την απευθείας ανάθεση υπογράφεται από τον Δήμαρχο.. </w:t>
      </w:r>
    </w:p>
    <w:p w14:paraId="15579389" w14:textId="77777777" w:rsidR="00AB0864" w:rsidRDefault="00AB0864" w:rsidP="00AB0864">
      <w:pPr>
        <w:spacing w:line="254" w:lineRule="auto"/>
        <w:jc w:val="both"/>
        <w:rPr>
          <w:rFonts w:ascii="Calibri" w:eastAsia="Times New Roman" w:hAnsi="Calibri" w:cs="Calibri"/>
          <w:lang w:eastAsia="el-GR"/>
        </w:rPr>
      </w:pPr>
      <w:r>
        <w:rPr>
          <w:rFonts w:ascii="Times New Roman" w:eastAsia="Times New Roman" w:hAnsi="Times New Roman" w:cs="Times New Roman"/>
          <w:sz w:val="24"/>
          <w:szCs w:val="24"/>
          <w:lang w:eastAsia="el-GR"/>
        </w:rPr>
        <w:t xml:space="preserve">ΣΗΜ: Τα εν λόγω συνάγονται από το κείμενο του Νόμου. Σε κάθε περίπτωση περιμένουμε περαιτέρω οδηγίες από την ΕΑΑΔΗΣΥ ή τη σχετική Επιτροπή ΥΠΟΜΕ καθώς και από την παραγόμενη Νομολογία (βλ. Άρ. 127, όπου </w:t>
      </w:r>
      <w:r>
        <w:rPr>
          <w:rFonts w:ascii="Times New Roman" w:eastAsia="Times New Roman" w:hAnsi="Times New Roman" w:cs="Times New Roman"/>
          <w:i/>
          <w:iCs/>
          <w:sz w:val="24"/>
          <w:szCs w:val="24"/>
          <w:lang w:eastAsia="el-GR"/>
        </w:rPr>
        <w:t>«μπορεί να ζητηθεί η ακύρωση πράξης ή παράλειψης της αναθέτουσας αρχής, καθώς και η αναστολή εκτέλεσης, ενώπιον του Διοικητικού Εφετείου της έδρας της αναθέτουσας αρχής»)</w:t>
      </w:r>
    </w:p>
    <w:p w14:paraId="0D697E32" w14:textId="5BC3A790" w:rsidR="00E704B7" w:rsidRDefault="00E704B7" w:rsidP="00E704B7">
      <w:pPr>
        <w:spacing w:after="0" w:line="240" w:lineRule="auto"/>
        <w:jc w:val="both"/>
        <w:rPr>
          <w:rFonts w:ascii="Times New Roman" w:eastAsia="Times New Roman" w:hAnsi="Times New Roman" w:cs="Times New Roman"/>
          <w:noProof w:val="0"/>
          <w:color w:val="333333"/>
          <w:sz w:val="24"/>
          <w:szCs w:val="24"/>
          <w:lang w:eastAsia="el-GR"/>
        </w:rPr>
      </w:pPr>
    </w:p>
    <w:p w14:paraId="7C003360" w14:textId="77777777" w:rsidR="00AB0864" w:rsidRPr="00E704B7" w:rsidRDefault="00AB0864" w:rsidP="00E704B7">
      <w:pPr>
        <w:spacing w:after="0" w:line="240" w:lineRule="auto"/>
        <w:jc w:val="both"/>
        <w:rPr>
          <w:rFonts w:ascii="Times New Roman" w:eastAsia="Times New Roman" w:hAnsi="Times New Roman" w:cs="Times New Roman"/>
          <w:noProof w:val="0"/>
          <w:color w:val="333333"/>
          <w:sz w:val="24"/>
          <w:szCs w:val="24"/>
          <w:lang w:eastAsia="el-GR"/>
        </w:rPr>
      </w:pPr>
    </w:p>
    <w:p w14:paraId="4DB05B6C" w14:textId="77777777" w:rsidR="00782C30" w:rsidRPr="00E704B7" w:rsidRDefault="00782C30" w:rsidP="00782C30">
      <w:pPr>
        <w:spacing w:line="240" w:lineRule="auto"/>
        <w:jc w:val="both"/>
        <w:rPr>
          <w:rFonts w:ascii="Times New Roman" w:eastAsia="Times New Roman" w:hAnsi="Times New Roman" w:cs="Times New Roman"/>
          <w:b/>
          <w:bCs/>
          <w:noProof w:val="0"/>
          <w:color w:val="333333"/>
          <w:sz w:val="24"/>
          <w:szCs w:val="24"/>
          <w:highlight w:val="yellow"/>
          <w:lang w:eastAsia="el-GR"/>
        </w:rPr>
      </w:pPr>
      <w:r w:rsidRPr="00E704B7">
        <w:rPr>
          <w:rFonts w:ascii="Times New Roman" w:eastAsia="Times New Roman" w:hAnsi="Times New Roman" w:cs="Times New Roman"/>
          <w:b/>
          <w:bCs/>
          <w:noProof w:val="0"/>
          <w:color w:val="333333"/>
          <w:sz w:val="24"/>
          <w:szCs w:val="24"/>
          <w:highlight w:val="yellow"/>
          <w:lang w:eastAsia="el-GR"/>
        </w:rPr>
        <w:t xml:space="preserve">Ερώτηση </w:t>
      </w:r>
      <w:r>
        <w:rPr>
          <w:rFonts w:ascii="Times New Roman" w:eastAsia="Times New Roman" w:hAnsi="Times New Roman" w:cs="Times New Roman"/>
          <w:b/>
          <w:bCs/>
          <w:noProof w:val="0"/>
          <w:color w:val="333333"/>
          <w:sz w:val="24"/>
          <w:szCs w:val="24"/>
          <w:highlight w:val="yellow"/>
          <w:lang w:eastAsia="el-GR"/>
        </w:rPr>
        <w:t>3</w:t>
      </w:r>
      <w:r w:rsidRPr="00E704B7">
        <w:rPr>
          <w:rFonts w:ascii="Times New Roman" w:eastAsia="Times New Roman" w:hAnsi="Times New Roman" w:cs="Times New Roman"/>
          <w:b/>
          <w:bCs/>
          <w:noProof w:val="0"/>
          <w:color w:val="333333"/>
          <w:sz w:val="24"/>
          <w:szCs w:val="24"/>
          <w:highlight w:val="yellow"/>
          <w:lang w:eastAsia="el-GR"/>
        </w:rPr>
        <w:t xml:space="preserve">: </w:t>
      </w:r>
    </w:p>
    <w:p w14:paraId="16BEA6C2"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 xml:space="preserve">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w:t>
      </w:r>
    </w:p>
    <w:p w14:paraId="2B102317"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 xml:space="preserve">Αν από τους τρεις που προσκλήθηκαν καταθέσει προσφορά μόνο ο ένας φορέας (οι άλλοι δεν εκδηλώσουν ενδιαφέρον ) για το έργο με μηδενικό ποσοστό έκπτωσης επί του προυπολογισμού του έργου μπορούμε να προχωρήσουμε στην κατακύρωση της ανάθεσης ή όχι επειδή δεν έδωσε ο προσφέρων έκπτωση΄? </w:t>
      </w:r>
    </w:p>
    <w:p w14:paraId="251EEF31"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 xml:space="preserve">Οι άλλοι δύο φορείς που δεν ανταποκρίθηκαν στην πρόσκληση για το συγκεκριμένο έργο έχουν τη δυνατότητα να προσκληθούν από την υπηρεσία στο μέλλον σε κάποιο άλλο έργο ή όχι επειδή δεν ανταποκρίθηκαν στη συγκεκριμένη στιγμή </w:t>
      </w:r>
    </w:p>
    <w:p w14:paraId="2ECAE95E"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Ευχαριστώ Μεταξιώτη Σταυρούλα</w:t>
      </w:r>
    </w:p>
    <w:p w14:paraId="39678853" w14:textId="77777777" w:rsidR="00782C30" w:rsidRDefault="00782C30" w:rsidP="00782C30">
      <w:pPr>
        <w:jc w:val="both"/>
        <w:rPr>
          <w:rFonts w:ascii="Times New Roman" w:hAnsi="Times New Roman" w:cs="Times New Roman"/>
          <w:b/>
          <w:sz w:val="24"/>
          <w:szCs w:val="24"/>
        </w:rPr>
      </w:pPr>
      <w:r>
        <w:rPr>
          <w:rFonts w:ascii="Times New Roman" w:hAnsi="Times New Roman" w:cs="Times New Roman"/>
          <w:b/>
          <w:sz w:val="24"/>
          <w:szCs w:val="24"/>
        </w:rPr>
        <w:t>Απάντηση</w:t>
      </w:r>
    </w:p>
    <w:p w14:paraId="53E5B570" w14:textId="77777777" w:rsidR="00782C30" w:rsidRDefault="00782C30" w:rsidP="00782C30">
      <w:pPr>
        <w:jc w:val="both"/>
        <w:rPr>
          <w:rFonts w:ascii="Times New Roman" w:hAnsi="Times New Roman" w:cs="Times New Roman"/>
          <w:b/>
          <w:sz w:val="24"/>
          <w:szCs w:val="24"/>
        </w:rPr>
      </w:pPr>
      <w:r>
        <w:rPr>
          <w:rFonts w:ascii="Times New Roman" w:hAnsi="Times New Roman" w:cs="Times New Roman"/>
          <w:b/>
          <w:sz w:val="24"/>
          <w:szCs w:val="24"/>
        </w:rPr>
        <w:t>Α΄. Ως προς την κατακύρωση ή μη της ανάθεσης Σύμβασης κατόπιν εφαρμογής της διαδικασίας Απευθείας Ανάθεσης:</w:t>
      </w:r>
    </w:p>
    <w:p w14:paraId="2E6E68FF"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Εφόσον έχει εφαρμοσθεί η ορθή διαδικασία (τεκμαίρεται η αποστολή της πρόσκλησης σε τουλάχιστον τρεις (3) οικονομικούς φορείς και έχει αναρτηθεί στο ΚΗΜΔΗΣ για τουλάχιστον πέντε (5) εργάσιμες ημέρες πριν από την κοινοποίηση της απόφασης ανάθεσης), το έργο κατακυρώνεται στον οικονομικό φορέα που κατέθεσε προσφορά, ανεξαρτήτως του ποσοστού έκπτωσης της Οικονομικής του προσφοράς.</w:t>
      </w:r>
    </w:p>
    <w:p w14:paraId="5CBEDA46" w14:textId="77777777" w:rsidR="00782C30" w:rsidRDefault="00782C30" w:rsidP="00782C30">
      <w:pPr>
        <w:jc w:val="both"/>
        <w:rPr>
          <w:rFonts w:ascii="Times New Roman" w:hAnsi="Times New Roman" w:cs="Times New Roman"/>
          <w:b/>
          <w:sz w:val="24"/>
          <w:szCs w:val="24"/>
        </w:rPr>
      </w:pPr>
      <w:r>
        <w:rPr>
          <w:rFonts w:ascii="Times New Roman" w:hAnsi="Times New Roman" w:cs="Times New Roman"/>
          <w:b/>
          <w:sz w:val="24"/>
          <w:szCs w:val="24"/>
        </w:rPr>
        <w:t>Β΄. Ως προς την απαγόρευση</w:t>
      </w:r>
      <w:r>
        <w:rPr>
          <w:b/>
        </w:rPr>
        <w:t xml:space="preserve"> </w:t>
      </w:r>
      <w:r>
        <w:rPr>
          <w:rFonts w:ascii="Times New Roman" w:hAnsi="Times New Roman" w:cs="Times New Roman"/>
          <w:b/>
          <w:sz w:val="24"/>
          <w:szCs w:val="24"/>
        </w:rPr>
        <w:t xml:space="preserve">σύναψης σύμβασης για δωδεκάμηνο: </w:t>
      </w:r>
    </w:p>
    <w:p w14:paraId="20C88EE4" w14:textId="77777777" w:rsidR="00782C30" w:rsidRDefault="00782C30" w:rsidP="00782C30">
      <w:pPr>
        <w:jc w:val="both"/>
        <w:rPr>
          <w:rFonts w:ascii="Times New Roman" w:hAnsi="Times New Roman" w:cs="Times New Roman"/>
          <w:sz w:val="24"/>
          <w:szCs w:val="24"/>
        </w:rPr>
      </w:pPr>
      <w:r>
        <w:rPr>
          <w:rFonts w:ascii="Times New Roman" w:hAnsi="Times New Roman" w:cs="Times New Roman"/>
          <w:sz w:val="24"/>
          <w:szCs w:val="24"/>
        </w:rPr>
        <w:t xml:space="preserve">Μετά από την υπογραφή της σύμβασης, ο ανάδοχος ή ελεγχόμενο από αυτόν φυσικό ή νομικό πρόσωπο δεν δύναται να συνάψει σύμβαση του παρόντος άρθρου με την αυτή αναθέτουσα αρχή για διάστημα δώδεκα (12) μηνών. (άρθρο 118 παρ.4 του Ν.4412/2016, όπως τροποποιήθηκε από το άρθρο 50 του Ν.4782/2021) </w:t>
      </w:r>
    </w:p>
    <w:p w14:paraId="491E840A" w14:textId="77777777" w:rsidR="00782C30" w:rsidRDefault="00782C30" w:rsidP="00782C30">
      <w:pPr>
        <w:pStyle w:val="a3"/>
        <w:numPr>
          <w:ilvl w:val="0"/>
          <w:numId w:val="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 xml:space="preserve">(αφορά </w:t>
      </w:r>
      <w:r>
        <w:rPr>
          <w:rFonts w:ascii="Times New Roman" w:hAnsi="Times New Roman" w:cs="Times New Roman"/>
          <w:b/>
          <w:sz w:val="24"/>
          <w:szCs w:val="24"/>
          <w:u w:val="single"/>
        </w:rPr>
        <w:t>μόνο όσους έχουν υπογράψει Σύμβαση</w:t>
      </w:r>
      <w:r>
        <w:rPr>
          <w:rFonts w:ascii="Times New Roman" w:hAnsi="Times New Roman" w:cs="Times New Roman"/>
          <w:sz w:val="24"/>
          <w:szCs w:val="24"/>
        </w:rPr>
        <w:t>)</w:t>
      </w:r>
    </w:p>
    <w:p w14:paraId="32BC4ADA" w14:textId="77777777" w:rsidR="00782C30" w:rsidRDefault="00782C30" w:rsidP="00782C30">
      <w:pPr>
        <w:pStyle w:val="a3"/>
        <w:numPr>
          <w:ilvl w:val="0"/>
          <w:numId w:val="5"/>
        </w:numPr>
        <w:spacing w:after="160" w:line="256" w:lineRule="auto"/>
        <w:jc w:val="both"/>
        <w:rPr>
          <w:rFonts w:ascii="Times New Roman" w:hAnsi="Times New Roman" w:cs="Times New Roman"/>
          <w:sz w:val="24"/>
          <w:szCs w:val="24"/>
        </w:rPr>
      </w:pPr>
      <w:r>
        <w:rPr>
          <w:rFonts w:ascii="Times New Roman" w:hAnsi="Times New Roman" w:cs="Times New Roman"/>
          <w:sz w:val="24"/>
          <w:szCs w:val="24"/>
        </w:rPr>
        <w:t>(Το χρονικό διάστημα υπολογισμού του δωδεκαμήνου άρχεται από την ημερομηνία υπογραφής της σχετικής Σύμβασης)</w:t>
      </w:r>
    </w:p>
    <w:p w14:paraId="08847563" w14:textId="77777777" w:rsidR="00782C30" w:rsidRDefault="00782C30" w:rsidP="00E704B7">
      <w:pPr>
        <w:spacing w:line="240" w:lineRule="auto"/>
        <w:jc w:val="both"/>
        <w:rPr>
          <w:rFonts w:ascii="Times New Roman" w:eastAsia="Times New Roman" w:hAnsi="Times New Roman" w:cs="Times New Roman"/>
          <w:b/>
          <w:bCs/>
          <w:noProof w:val="0"/>
          <w:color w:val="333333"/>
          <w:sz w:val="24"/>
          <w:szCs w:val="24"/>
          <w:highlight w:val="yellow"/>
          <w:lang w:eastAsia="el-GR"/>
        </w:rPr>
      </w:pPr>
    </w:p>
    <w:p w14:paraId="277E3BC4" w14:textId="5E80E114" w:rsidR="00E704B7" w:rsidRPr="00E704B7" w:rsidRDefault="00E704B7" w:rsidP="00E704B7">
      <w:pPr>
        <w:spacing w:line="240" w:lineRule="auto"/>
        <w:jc w:val="both"/>
        <w:rPr>
          <w:rFonts w:ascii="Times New Roman" w:eastAsia="Times New Roman" w:hAnsi="Times New Roman" w:cs="Times New Roman"/>
          <w:b/>
          <w:bCs/>
          <w:noProof w:val="0"/>
          <w:color w:val="333333"/>
          <w:sz w:val="24"/>
          <w:szCs w:val="24"/>
          <w:highlight w:val="yellow"/>
          <w:lang w:eastAsia="el-GR"/>
        </w:rPr>
      </w:pPr>
      <w:r w:rsidRPr="00E704B7">
        <w:rPr>
          <w:rFonts w:ascii="Times New Roman" w:eastAsia="Times New Roman" w:hAnsi="Times New Roman" w:cs="Times New Roman"/>
          <w:b/>
          <w:bCs/>
          <w:noProof w:val="0"/>
          <w:color w:val="333333"/>
          <w:sz w:val="24"/>
          <w:szCs w:val="24"/>
          <w:highlight w:val="yellow"/>
          <w:lang w:eastAsia="el-GR"/>
        </w:rPr>
        <w:t xml:space="preserve">Ερώτηση </w:t>
      </w:r>
      <w:r w:rsidR="00782C30">
        <w:rPr>
          <w:rFonts w:ascii="Times New Roman" w:eastAsia="Times New Roman" w:hAnsi="Times New Roman" w:cs="Times New Roman"/>
          <w:b/>
          <w:bCs/>
          <w:noProof w:val="0"/>
          <w:color w:val="333333"/>
          <w:sz w:val="24"/>
          <w:szCs w:val="24"/>
          <w:highlight w:val="yellow"/>
          <w:lang w:eastAsia="el-GR"/>
        </w:rPr>
        <w:t>4</w:t>
      </w:r>
      <w:r w:rsidRPr="00E704B7">
        <w:rPr>
          <w:rFonts w:ascii="Times New Roman" w:eastAsia="Times New Roman" w:hAnsi="Times New Roman" w:cs="Times New Roman"/>
          <w:b/>
          <w:bCs/>
          <w:noProof w:val="0"/>
          <w:color w:val="333333"/>
          <w:sz w:val="24"/>
          <w:szCs w:val="24"/>
          <w:highlight w:val="yellow"/>
          <w:lang w:eastAsia="el-GR"/>
        </w:rPr>
        <w:t xml:space="preserve">: </w:t>
      </w:r>
    </w:p>
    <w:p w14:paraId="7E42ABEC" w14:textId="77777777" w:rsidR="00E704B7" w:rsidRPr="00E704B7" w:rsidRDefault="00E704B7" w:rsidP="00E704B7">
      <w:pPr>
        <w:spacing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Το όριο των 60.000,00 ευρώ που αφορά την ανάθεση έργων, περιλαμβάνει και την ανάθεση μελετών ή είναι 60.000 για ανάθεση έργων και 60.000 για ανάθεση μελέτης ξεχωριστά ανά έτος;</w:t>
      </w:r>
    </w:p>
    <w:p w14:paraId="258571C1"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b/>
          <w:bCs/>
          <w:noProof w:val="0"/>
          <w:color w:val="333333"/>
          <w:sz w:val="24"/>
          <w:szCs w:val="24"/>
          <w:lang w:eastAsia="el-GR"/>
        </w:rPr>
      </w:pPr>
      <w:r w:rsidRPr="00E704B7">
        <w:rPr>
          <w:rFonts w:ascii="Times New Roman" w:eastAsia="Times New Roman" w:hAnsi="Times New Roman" w:cs="Times New Roman"/>
          <w:b/>
          <w:bCs/>
          <w:noProof w:val="0"/>
          <w:color w:val="333333"/>
          <w:sz w:val="24"/>
          <w:szCs w:val="24"/>
          <w:lang w:eastAsia="el-GR"/>
        </w:rPr>
        <w:t>Απάντηση:</w:t>
      </w:r>
    </w:p>
    <w:p w14:paraId="182DC01D"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b/>
          <w:bCs/>
          <w:noProof w:val="0"/>
          <w:color w:val="333333"/>
          <w:sz w:val="24"/>
          <w:szCs w:val="24"/>
          <w:u w:val="single"/>
          <w:lang w:eastAsia="el-GR"/>
        </w:rPr>
        <w:lastRenderedPageBreak/>
        <w:t>Απευθείας ανάθεση Έργων και Μελετών ύψους 30.000 ευρώ</w:t>
      </w:r>
    </w:p>
    <w:p w14:paraId="2E2FD8D3"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Γενικώς η προσφυγή στη διαδικασία της απευθείας ανάθεσης επιτρέπεται, όταν η εκτιμώμενη αξία της σύμβασης, </w:t>
      </w:r>
      <w:r w:rsidRPr="00E704B7">
        <w:rPr>
          <w:rFonts w:ascii="Times New Roman" w:eastAsia="Times New Roman" w:hAnsi="Times New Roman" w:cs="Times New Roman"/>
          <w:b/>
          <w:bCs/>
          <w:noProof w:val="0"/>
          <w:color w:val="333333"/>
          <w:sz w:val="24"/>
          <w:szCs w:val="24"/>
          <w:lang w:eastAsia="el-GR"/>
        </w:rPr>
        <w:t>είναι ίση ή κατώτερη από το όριο των τριάντα χιλιάδων (30.000) ευρώ.</w:t>
      </w:r>
    </w:p>
    <w:p w14:paraId="7C9DEAA5"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b/>
          <w:bCs/>
          <w:noProof w:val="0"/>
          <w:color w:val="333333"/>
          <w:sz w:val="24"/>
          <w:szCs w:val="24"/>
          <w:u w:val="single"/>
          <w:lang w:eastAsia="el-GR"/>
        </w:rPr>
        <w:t>Απευθείας ανάθεση Έργων και Υπηρεσιών ύψους 30.000 έως 60.000 ευρώ</w:t>
      </w:r>
    </w:p>
    <w:p w14:paraId="513FAD88"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E704B7">
        <w:rPr>
          <w:rFonts w:ascii="Times New Roman" w:eastAsia="Times New Roman" w:hAnsi="Times New Roman" w:cs="Times New Roman"/>
          <w:b/>
          <w:bCs/>
          <w:noProof w:val="0"/>
          <w:color w:val="333333"/>
          <w:sz w:val="24"/>
          <w:szCs w:val="24"/>
          <w:lang w:eastAsia="el-GR"/>
        </w:rPr>
        <w:t>Κατ</w:t>
      </w:r>
      <w:proofErr w:type="spellEnd"/>
      <w:r w:rsidRPr="00E704B7">
        <w:rPr>
          <w:rFonts w:ascii="Times New Roman" w:eastAsia="Times New Roman" w:hAnsi="Times New Roman" w:cs="Times New Roman"/>
          <w:b/>
          <w:bCs/>
          <w:noProof w:val="0"/>
          <w:color w:val="333333"/>
          <w:sz w:val="24"/>
          <w:szCs w:val="24"/>
          <w:lang w:eastAsia="el-GR"/>
        </w:rPr>
        <w:t>΄ εξαίρεση των ανωτέρω,</w:t>
      </w:r>
      <w:r w:rsidRPr="00E704B7">
        <w:rPr>
          <w:rFonts w:ascii="Times New Roman" w:eastAsia="Times New Roman" w:hAnsi="Times New Roman" w:cs="Times New Roman"/>
          <w:noProof w:val="0"/>
          <w:color w:val="333333"/>
          <w:sz w:val="24"/>
          <w:szCs w:val="24"/>
          <w:lang w:eastAsia="el-GR"/>
        </w:rPr>
        <w:t xml:space="preserve"> σύμφωνα με τις προβλέψεις του </w:t>
      </w:r>
      <w:proofErr w:type="spellStart"/>
      <w:r w:rsidRPr="00E704B7">
        <w:rPr>
          <w:rFonts w:ascii="Times New Roman" w:eastAsia="Times New Roman" w:hAnsi="Times New Roman" w:cs="Times New Roman"/>
          <w:noProof w:val="0"/>
          <w:color w:val="333333"/>
          <w:sz w:val="24"/>
          <w:szCs w:val="24"/>
          <w:lang w:eastAsia="el-GR"/>
        </w:rPr>
        <w:t>Άρ</w:t>
      </w:r>
      <w:proofErr w:type="spellEnd"/>
      <w:r w:rsidRPr="00E704B7">
        <w:rPr>
          <w:rFonts w:ascii="Times New Roman" w:eastAsia="Times New Roman" w:hAnsi="Times New Roman" w:cs="Times New Roman"/>
          <w:noProof w:val="0"/>
          <w:color w:val="333333"/>
          <w:sz w:val="24"/>
          <w:szCs w:val="24"/>
          <w:lang w:eastAsia="el-GR"/>
        </w:rPr>
        <w:t>. 118, η προσφυγή στις διαδικασίες Απευθείας αναθέσεις Δημοσίων Συμβάσεων ύψους 30.000 έως 60.000 ευρώ μπορούν να πραγματοποιηθεί:</w:t>
      </w:r>
    </w:p>
    <w:p w14:paraId="12F12256" w14:textId="77777777" w:rsidR="00E704B7" w:rsidRPr="00E704B7" w:rsidRDefault="00E704B7" w:rsidP="00E704B7">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Είτε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w:t>
      </w:r>
      <w:r w:rsidRPr="00E704B7">
        <w:rPr>
          <w:rFonts w:ascii="Times New Roman" w:eastAsia="Times New Roman" w:hAnsi="Times New Roman" w:cs="Times New Roman"/>
          <w:noProof w:val="0"/>
          <w:color w:val="333333"/>
          <w:sz w:val="24"/>
          <w:szCs w:val="24"/>
          <w:lang w:eastAsia="el-GR"/>
        </w:rPr>
        <w:br/>
      </w:r>
      <w:r w:rsidRPr="00E704B7">
        <w:rPr>
          <w:rFonts w:ascii="Times New Roman" w:eastAsia="Times New Roman" w:hAnsi="Times New Roman" w:cs="Times New Roman"/>
          <w:i/>
          <w:iCs/>
          <w:noProof w:val="0"/>
          <w:color w:val="333333"/>
          <w:sz w:val="24"/>
          <w:szCs w:val="24"/>
          <w:lang w:eastAsia="el-GR"/>
        </w:rPr>
        <w:t>(παρ.1)</w:t>
      </w:r>
    </w:p>
    <w:p w14:paraId="47BEEE3F" w14:textId="77777777" w:rsidR="00E704B7" w:rsidRPr="00E704B7" w:rsidRDefault="00E704B7" w:rsidP="00E704B7">
      <w:pPr>
        <w:numPr>
          <w:ilvl w:val="0"/>
          <w:numId w:val="3"/>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Είτε κατά παρέκκλιση της παρ. 1,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sidRPr="00E704B7">
        <w:rPr>
          <w:rFonts w:ascii="Times New Roman" w:eastAsia="Times New Roman" w:hAnsi="Times New Roman" w:cs="Times New Roman"/>
          <w:noProof w:val="0"/>
          <w:color w:val="333333"/>
          <w:sz w:val="24"/>
          <w:szCs w:val="24"/>
          <w:lang w:eastAsia="el-GR"/>
        </w:rPr>
        <w:t>διαλειτουργικότητας</w:t>
      </w:r>
      <w:proofErr w:type="spellEnd"/>
      <w:r w:rsidRPr="00E704B7">
        <w:rPr>
          <w:rFonts w:ascii="Times New Roman" w:eastAsia="Times New Roman" w:hAnsi="Times New Roman" w:cs="Times New Roman"/>
          <w:noProof w:val="0"/>
          <w:color w:val="333333"/>
          <w:sz w:val="24"/>
          <w:szCs w:val="24"/>
          <w:lang w:eastAsia="el-GR"/>
        </w:rPr>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 η οποία </w:t>
      </w:r>
      <w:proofErr w:type="spellStart"/>
      <w:r w:rsidRPr="00E704B7">
        <w:rPr>
          <w:rFonts w:ascii="Times New Roman" w:eastAsia="Times New Roman" w:hAnsi="Times New Roman" w:cs="Times New Roman"/>
          <w:noProof w:val="0"/>
          <w:color w:val="333333"/>
          <w:sz w:val="24"/>
          <w:szCs w:val="24"/>
          <w:lang w:eastAsia="el-GR"/>
        </w:rPr>
        <w:t>σημειωτέον</w:t>
      </w:r>
      <w:proofErr w:type="spellEnd"/>
      <w:r w:rsidRPr="00E704B7">
        <w:rPr>
          <w:rFonts w:ascii="Times New Roman" w:eastAsia="Times New Roman" w:hAnsi="Times New Roman" w:cs="Times New Roman"/>
          <w:noProof w:val="0"/>
          <w:color w:val="333333"/>
          <w:sz w:val="24"/>
          <w:szCs w:val="24"/>
          <w:lang w:eastAsia="el-GR"/>
        </w:rPr>
        <w:t xml:space="preserve"> είναι επιτρεπτή κατόπιν έκδοσης διαπιστωτικής πράξης από τον Υπουργό Ψηφιακής Διακυβέρνησης, μετά από αίτηση της αναθέτουσας αρχής, που υποβάλλεται στο Υπουργείο Ψηφιακής Διακυβέρνησης </w:t>
      </w:r>
      <w:r w:rsidRPr="00E704B7">
        <w:rPr>
          <w:rFonts w:ascii="Times New Roman" w:eastAsia="Times New Roman" w:hAnsi="Times New Roman" w:cs="Times New Roman"/>
          <w:i/>
          <w:iCs/>
          <w:noProof w:val="0"/>
          <w:color w:val="333333"/>
          <w:sz w:val="24"/>
          <w:szCs w:val="24"/>
          <w:lang w:eastAsia="el-GR"/>
        </w:rPr>
        <w:t>(παρ.6)</w:t>
      </w:r>
    </w:p>
    <w:p w14:paraId="02C6B8CA"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E704B7">
        <w:rPr>
          <w:rFonts w:ascii="Times New Roman" w:eastAsia="Times New Roman" w:hAnsi="Times New Roman" w:cs="Times New Roman"/>
          <w:noProof w:val="0"/>
          <w:color w:val="333333"/>
          <w:sz w:val="24"/>
          <w:szCs w:val="24"/>
          <w:lang w:eastAsia="el-GR"/>
        </w:rPr>
        <w:t>Σημειωτέον</w:t>
      </w:r>
      <w:proofErr w:type="spellEnd"/>
      <w:r w:rsidRPr="00E704B7">
        <w:rPr>
          <w:rFonts w:ascii="Times New Roman" w:eastAsia="Times New Roman" w:hAnsi="Times New Roman" w:cs="Times New Roman"/>
          <w:noProof w:val="0"/>
          <w:color w:val="333333"/>
          <w:sz w:val="24"/>
          <w:szCs w:val="24"/>
          <w:lang w:eastAsia="el-GR"/>
        </w:rPr>
        <w:t xml:space="preserve">, ότι σύμφωνα με τα δύο τελευταία εδάφια της παρ. (3) (περ. β΄) του </w:t>
      </w:r>
      <w:proofErr w:type="spellStart"/>
      <w:r w:rsidRPr="00E704B7">
        <w:rPr>
          <w:rFonts w:ascii="Times New Roman" w:eastAsia="Times New Roman" w:hAnsi="Times New Roman" w:cs="Times New Roman"/>
          <w:noProof w:val="0"/>
          <w:color w:val="333333"/>
          <w:sz w:val="24"/>
          <w:szCs w:val="24"/>
          <w:lang w:eastAsia="el-GR"/>
        </w:rPr>
        <w:t>Άρρθ</w:t>
      </w:r>
      <w:proofErr w:type="spellEnd"/>
      <w:r w:rsidRPr="00E704B7">
        <w:rPr>
          <w:rFonts w:ascii="Times New Roman" w:eastAsia="Times New Roman" w:hAnsi="Times New Roman" w:cs="Times New Roman"/>
          <w:noProof w:val="0"/>
          <w:color w:val="333333"/>
          <w:sz w:val="24"/>
          <w:szCs w:val="24"/>
          <w:lang w:eastAsia="el-GR"/>
        </w:rPr>
        <w:t>. 120, 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ενώ δεν αξιολογούνται προσφορές οικονομικών φορέων που δεν προσκλήθηκαν να υποβάλουν προσφορά.</w:t>
      </w:r>
    </w:p>
    <w:p w14:paraId="1CABBEF4"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b/>
          <w:bCs/>
          <w:noProof w:val="0"/>
          <w:color w:val="333333"/>
          <w:sz w:val="24"/>
          <w:szCs w:val="24"/>
          <w:u w:val="single"/>
          <w:lang w:eastAsia="el-GR"/>
        </w:rPr>
        <w:t>Περιορισμοί  ως προς το όριο ποσοστού έως 10% των πιστώσεων της αναθέτουσας αρχής κατ’ έτος για απευθείας ανάθεσης συμβάσεις έργων, μελετών και</w:t>
      </w:r>
    </w:p>
    <w:p w14:paraId="03C95882"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proofErr w:type="spellStart"/>
      <w:r w:rsidRPr="00E704B7">
        <w:rPr>
          <w:rFonts w:ascii="Times New Roman" w:eastAsia="Times New Roman" w:hAnsi="Times New Roman" w:cs="Times New Roman"/>
          <w:noProof w:val="0"/>
          <w:color w:val="333333"/>
          <w:sz w:val="24"/>
          <w:szCs w:val="24"/>
          <w:lang w:eastAsia="el-GR"/>
        </w:rPr>
        <w:t>Ωε</w:t>
      </w:r>
      <w:proofErr w:type="spellEnd"/>
      <w:r w:rsidRPr="00E704B7">
        <w:rPr>
          <w:rFonts w:ascii="Times New Roman" w:eastAsia="Times New Roman" w:hAnsi="Times New Roman" w:cs="Times New Roman"/>
          <w:noProof w:val="0"/>
          <w:color w:val="333333"/>
          <w:sz w:val="24"/>
          <w:szCs w:val="24"/>
          <w:lang w:eastAsia="el-GR"/>
        </w:rPr>
        <w:t xml:space="preserve"> προς το συνολικό ποσό των προς Απευθείας Ανάθεση Συμβάσεων και Μελετών, </w:t>
      </w:r>
      <w:r w:rsidRPr="00E704B7">
        <w:rPr>
          <w:rFonts w:ascii="Times New Roman" w:eastAsia="Times New Roman" w:hAnsi="Times New Roman" w:cs="Times New Roman"/>
          <w:b/>
          <w:bCs/>
          <w:noProof w:val="0"/>
          <w:color w:val="333333"/>
          <w:sz w:val="24"/>
          <w:szCs w:val="24"/>
          <w:lang w:eastAsia="el-GR"/>
        </w:rPr>
        <w:t>ο μόνος περιορισμός</w:t>
      </w:r>
      <w:r w:rsidRPr="00E704B7">
        <w:rPr>
          <w:rFonts w:ascii="Times New Roman" w:eastAsia="Times New Roman" w:hAnsi="Times New Roman" w:cs="Times New Roman"/>
          <w:noProof w:val="0"/>
          <w:color w:val="333333"/>
          <w:sz w:val="24"/>
          <w:szCs w:val="24"/>
          <w:lang w:eastAsia="el-GR"/>
        </w:rPr>
        <w:t> που τίθεται εκ του Νόμου (και ειδικότερα στο άρθρο 118 παρ.4 του Ν.4412/2016 (όπως τροποποιήθηκε από το άρθρο 50 του Ν.4782/2021), είναι το </w:t>
      </w:r>
      <w:r w:rsidRPr="00E704B7">
        <w:rPr>
          <w:rFonts w:ascii="Times New Roman" w:eastAsia="Times New Roman" w:hAnsi="Times New Roman" w:cs="Times New Roman"/>
          <w:b/>
          <w:bCs/>
          <w:noProof w:val="0"/>
          <w:color w:val="333333"/>
          <w:sz w:val="24"/>
          <w:szCs w:val="24"/>
          <w:lang w:eastAsia="el-GR"/>
        </w:rPr>
        <w:t>όριο ποσοστού έως 10% των πιστώσεων της αναθέτουσας αρχής κατ’ έτος για απευθείας ανάθεσης συμβάσεις έργων, μελετών και παροχής τεχνικών και λοιπών επιστημονικών υπηρεσιών.</w:t>
      </w:r>
      <w:r w:rsidRPr="00E704B7">
        <w:rPr>
          <w:rFonts w:ascii="Times New Roman" w:eastAsia="Times New Roman" w:hAnsi="Times New Roman" w:cs="Times New Roman"/>
          <w:noProof w:val="0"/>
          <w:color w:val="333333"/>
          <w:sz w:val="24"/>
          <w:szCs w:val="24"/>
          <w:lang w:eastAsia="el-GR"/>
        </w:rPr>
        <w:t> Συμβάσεις που συνάπτονται κατά παράβαση του εν προκειμένω ορίου είναι άκυρες και δεν παράγουν έννομα αποτελέσματα.</w:t>
      </w:r>
    </w:p>
    <w:p w14:paraId="5E5530BE"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Σύμφωνα με το ανωτέρω 4ο Πρακτικό της Ομάδας Εργασίας ΥΠΟΜΕ: </w:t>
      </w:r>
      <w:r w:rsidRPr="00E704B7">
        <w:rPr>
          <w:rFonts w:ascii="Times New Roman" w:eastAsia="Times New Roman" w:hAnsi="Times New Roman" w:cs="Times New Roman"/>
          <w:i/>
          <w:iCs/>
          <w:noProof w:val="0"/>
          <w:color w:val="333333"/>
          <w:sz w:val="24"/>
          <w:szCs w:val="24"/>
          <w:lang w:eastAsia="el-GR"/>
        </w:rPr>
        <w:t xml:space="preserve">«Οι απαγορευτικοί κανόνες των διατάξεων των παρ. 4 και 5 του άρθρου 118 ν. 4412/2016 όπως ισχύει μετά την τροποποίησή του με το άρθρο 50 ν. 4782/2021, εφαρμόζονται </w:t>
      </w:r>
      <w:r w:rsidRPr="00E704B7">
        <w:rPr>
          <w:rFonts w:ascii="Times New Roman" w:eastAsia="Times New Roman" w:hAnsi="Times New Roman" w:cs="Times New Roman"/>
          <w:i/>
          <w:iCs/>
          <w:noProof w:val="0"/>
          <w:color w:val="333333"/>
          <w:sz w:val="24"/>
          <w:szCs w:val="24"/>
          <w:lang w:eastAsia="el-GR"/>
        </w:rPr>
        <w:lastRenderedPageBreak/>
        <w:t>αθροιστικά από 1.6.2021, για απευθείας αναθέσεις συμβάσεων έργων, μελετών και παροχής τεχνικών και λοιπών συναφών επιστημονικών υπηρεσιών,</w:t>
      </w:r>
      <w:r w:rsidRPr="00E704B7">
        <w:rPr>
          <w:rFonts w:ascii="Times New Roman" w:eastAsia="Times New Roman" w:hAnsi="Times New Roman" w:cs="Times New Roman"/>
          <w:i/>
          <w:iCs/>
          <w:noProof w:val="0"/>
          <w:color w:val="333333"/>
          <w:sz w:val="24"/>
          <w:szCs w:val="24"/>
          <w:u w:val="single"/>
          <w:lang w:eastAsia="el-GR"/>
        </w:rPr>
        <w:t> ανεξάρτητα της πηγής προέλευσης της χρηματοδότησης των εν λόγω συμβάσεων».</w:t>
      </w:r>
    </w:p>
    <w:p w14:paraId="053BC7BD" w14:textId="77777777" w:rsidR="00E704B7" w:rsidRPr="00E704B7" w:rsidRDefault="00E704B7" w:rsidP="00E704B7">
      <w:p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Επιπρόσθετα:</w:t>
      </w:r>
    </w:p>
    <w:p w14:paraId="616A418D" w14:textId="77777777" w:rsidR="00E704B7" w:rsidRPr="00E704B7" w:rsidRDefault="00E704B7" w:rsidP="00E704B7">
      <w:pPr>
        <w:numPr>
          <w:ilvl w:val="0"/>
          <w:numId w:val="4"/>
        </w:numPr>
        <w:spacing w:before="100" w:beforeAutospacing="1" w:after="100" w:afterAutospacing="1" w:line="240" w:lineRule="auto"/>
        <w:jc w:val="both"/>
        <w:rPr>
          <w:rFonts w:ascii="Times New Roman" w:eastAsia="Times New Roman" w:hAnsi="Times New Roman" w:cs="Times New Roman"/>
          <w:noProof w:val="0"/>
          <w:color w:val="333333"/>
          <w:sz w:val="24"/>
          <w:szCs w:val="24"/>
          <w:lang w:eastAsia="el-GR"/>
        </w:rPr>
      </w:pPr>
      <w:r w:rsidRPr="00E704B7">
        <w:rPr>
          <w:rFonts w:ascii="Times New Roman" w:eastAsia="Times New Roman" w:hAnsi="Times New Roman" w:cs="Times New Roman"/>
          <w:noProof w:val="0"/>
          <w:color w:val="333333"/>
          <w:sz w:val="24"/>
          <w:szCs w:val="24"/>
          <w:lang w:eastAsia="el-GR"/>
        </w:rPr>
        <w:t xml:space="preserve">Επιφορτισμένη με την επαλήθευση της τήρησης του δεύτερου απαγορευτικού κανόνα (που αφορά στην ετήσια ανάθεση τέτοιων συμβάσεων να μην υπερβαίνει σε ποσοστό το δέκα τοις εκατό (10%) των πιστώσεων της αναθέτουσας αρχής για τέτοιες συμβάσεις, ήτοι βάση υπολογισμού του άνω ορίου αποτελεί ο προϋπολογισμός της κάθε αναθέτουσας αρχής για τέτοιες συμβάσεις, ενώ τυχόν </w:t>
      </w:r>
      <w:proofErr w:type="spellStart"/>
      <w:r w:rsidRPr="00E704B7">
        <w:rPr>
          <w:rFonts w:ascii="Times New Roman" w:eastAsia="Times New Roman" w:hAnsi="Times New Roman" w:cs="Times New Roman"/>
          <w:noProof w:val="0"/>
          <w:color w:val="333333"/>
          <w:sz w:val="24"/>
          <w:szCs w:val="24"/>
          <w:lang w:eastAsia="el-GR"/>
        </w:rPr>
        <w:t>συναπτόμενες</w:t>
      </w:r>
      <w:proofErr w:type="spellEnd"/>
      <w:r w:rsidRPr="00E704B7">
        <w:rPr>
          <w:rFonts w:ascii="Times New Roman" w:eastAsia="Times New Roman" w:hAnsi="Times New Roman" w:cs="Times New Roman"/>
          <w:noProof w:val="0"/>
          <w:color w:val="333333"/>
          <w:sz w:val="24"/>
          <w:szCs w:val="24"/>
          <w:lang w:eastAsia="el-GR"/>
        </w:rPr>
        <w:t xml:space="preserve"> πέραν του ως άνω ποσοστού θεωρούνται </w:t>
      </w:r>
      <w:r w:rsidRPr="00E704B7">
        <w:rPr>
          <w:rFonts w:ascii="Times New Roman" w:eastAsia="Times New Roman" w:hAnsi="Times New Roman" w:cs="Times New Roman"/>
          <w:b/>
          <w:bCs/>
          <w:noProof w:val="0"/>
          <w:color w:val="333333"/>
          <w:sz w:val="24"/>
          <w:szCs w:val="24"/>
          <w:lang w:eastAsia="el-GR"/>
        </w:rPr>
        <w:t>άκυρες</w:t>
      </w:r>
      <w:r w:rsidRPr="00E704B7">
        <w:rPr>
          <w:rFonts w:ascii="Times New Roman" w:eastAsia="Times New Roman" w:hAnsi="Times New Roman" w:cs="Times New Roman"/>
          <w:noProof w:val="0"/>
          <w:color w:val="333333"/>
          <w:sz w:val="24"/>
          <w:szCs w:val="24"/>
          <w:lang w:eastAsia="el-GR"/>
        </w:rPr>
        <w:t>) είναι η Οικονομική Υπηρεσία, αρμοδιότητα της οποίας είναι η παρακολούθηση της πορείας του Τεχνικού Προγράμματος, λαμβάνοντας πάντα υπόψη τα σχετικά στοιχεία από την Τεχνική Υπηρεσία, σχετικά με τις συναφθείσες κατ’ άρθρο 118 Συμβάσεις.</w:t>
      </w:r>
    </w:p>
    <w:p w14:paraId="70F7ABD4" w14:textId="77777777" w:rsidR="0042664C" w:rsidRPr="00E704B7" w:rsidRDefault="0042664C" w:rsidP="00E704B7">
      <w:pPr>
        <w:jc w:val="both"/>
        <w:rPr>
          <w:rFonts w:ascii="Times New Roman" w:hAnsi="Times New Roman" w:cs="Times New Roman"/>
          <w:sz w:val="24"/>
          <w:szCs w:val="24"/>
        </w:rPr>
      </w:pPr>
    </w:p>
    <w:sectPr w:rsidR="0042664C" w:rsidRPr="00E704B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57282"/>
    <w:multiLevelType w:val="multilevel"/>
    <w:tmpl w:val="C10C7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AE0488"/>
    <w:multiLevelType w:val="hybridMultilevel"/>
    <w:tmpl w:val="59FC747C"/>
    <w:lvl w:ilvl="0" w:tplc="5AE691EA">
      <w:numFmt w:val="bullet"/>
      <w:lvlText w:val="-"/>
      <w:lvlJc w:val="left"/>
      <w:pPr>
        <w:ind w:left="360" w:hanging="360"/>
      </w:pPr>
      <w:rPr>
        <w:rFonts w:ascii="Times New Roman" w:eastAsiaTheme="minorHAnsi" w:hAnsi="Times New Roman" w:cs="Times New Roman"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2" w15:restartNumberingAfterBreak="0">
    <w:nsid w:val="2F2F5C79"/>
    <w:multiLevelType w:val="multilevel"/>
    <w:tmpl w:val="C7C68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1F0BC1"/>
    <w:multiLevelType w:val="hybridMultilevel"/>
    <w:tmpl w:val="1680957C"/>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15:restartNumberingAfterBreak="0">
    <w:nsid w:val="7E0E223A"/>
    <w:multiLevelType w:val="multilevel"/>
    <w:tmpl w:val="C82A6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2B4"/>
    <w:rsid w:val="0042664C"/>
    <w:rsid w:val="004B5AAF"/>
    <w:rsid w:val="00782C30"/>
    <w:rsid w:val="008636B8"/>
    <w:rsid w:val="00AB0864"/>
    <w:rsid w:val="00DD52B4"/>
    <w:rsid w:val="00E704B7"/>
    <w:rsid w:val="00E857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69A21"/>
  <w15:chartTrackingRefBased/>
  <w15:docId w15:val="{BF4F9C29-FB89-418E-AD3C-695F6F1BB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52B4"/>
    <w:pPr>
      <w:spacing w:after="200" w:line="276" w:lineRule="auto"/>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52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854948">
      <w:bodyDiv w:val="1"/>
      <w:marLeft w:val="0"/>
      <w:marRight w:val="0"/>
      <w:marTop w:val="0"/>
      <w:marBottom w:val="0"/>
      <w:divBdr>
        <w:top w:val="none" w:sz="0" w:space="0" w:color="auto"/>
        <w:left w:val="none" w:sz="0" w:space="0" w:color="auto"/>
        <w:bottom w:val="none" w:sz="0" w:space="0" w:color="auto"/>
        <w:right w:val="none" w:sz="0" w:space="0" w:color="auto"/>
      </w:divBdr>
    </w:div>
    <w:div w:id="185796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1626</Words>
  <Characters>8783</Characters>
  <Application>Microsoft Office Word</Application>
  <DocSecurity>0</DocSecurity>
  <Lines>73</Lines>
  <Paragraphs>20</Paragraphs>
  <ScaleCrop>false</ScaleCrop>
  <Company/>
  <LinksUpToDate>false</LinksUpToDate>
  <CharactersWithSpaces>10389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7</cp:revision>
  <dcterms:created xsi:type="dcterms:W3CDTF">2022-10-07T15:25:00Z</dcterms:created>
  <dcterms:modified xsi:type="dcterms:W3CDTF">2025-03-25T14:13:00Z</dcterms:modified>
</cp:coreProperties>
</file>