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0C4" w:rsidRPr="001B6FB7" w:rsidRDefault="00BF70C4" w:rsidP="00BF70C4">
      <w:pPr>
        <w:pBdr>
          <w:bottom w:val="single" w:sz="6" w:space="1" w:color="auto"/>
        </w:pBdr>
        <w:spacing w:after="0" w:line="240" w:lineRule="auto"/>
        <w:jc w:val="both"/>
        <w:rPr>
          <w:rFonts w:ascii="Times New Roman" w:eastAsia="Times New Roman" w:hAnsi="Times New Roman" w:cs="Times New Roman"/>
          <w:noProof w:val="0"/>
          <w:vanish/>
          <w:sz w:val="24"/>
          <w:szCs w:val="24"/>
          <w:lang w:eastAsia="el-GR"/>
        </w:rPr>
      </w:pPr>
      <w:r w:rsidRPr="001B6FB7">
        <w:rPr>
          <w:rFonts w:ascii="Times New Roman" w:eastAsia="Times New Roman" w:hAnsi="Times New Roman" w:cs="Times New Roman"/>
          <w:noProof w:val="0"/>
          <w:vanish/>
          <w:sz w:val="24"/>
          <w:szCs w:val="24"/>
          <w:lang w:eastAsia="el-GR"/>
        </w:rPr>
        <w:t>Αρχή φόρμας</w:t>
      </w:r>
    </w:p>
    <w:p w:rsidR="00BF70C4" w:rsidRPr="001B6FB7" w:rsidRDefault="001B6FB7" w:rsidP="00BF70C4">
      <w:pPr>
        <w:spacing w:line="240" w:lineRule="auto"/>
        <w:jc w:val="both"/>
        <w:rPr>
          <w:rFonts w:ascii="Times New Roman" w:eastAsia="Times New Roman" w:hAnsi="Times New Roman" w:cs="Times New Roman"/>
          <w:noProof w:val="0"/>
          <w:color w:val="333333"/>
          <w:sz w:val="24"/>
          <w:szCs w:val="24"/>
          <w:lang w:eastAsia="el-GR"/>
        </w:rPr>
      </w:pPr>
      <w:r w:rsidRPr="001B6FB7">
        <w:rPr>
          <w:rFonts w:ascii="Times New Roman" w:eastAsia="Times New Roman" w:hAnsi="Times New Roman" w:cs="Times New Roman"/>
          <w:b/>
          <w:noProof w:val="0"/>
          <w:color w:val="333333"/>
          <w:sz w:val="24"/>
          <w:szCs w:val="24"/>
          <w:lang w:eastAsia="el-GR"/>
        </w:rPr>
        <w:t>ΘΕΜΑ :</w:t>
      </w:r>
      <w:r w:rsidRPr="001B6FB7">
        <w:rPr>
          <w:rFonts w:ascii="Times New Roman" w:eastAsia="Times New Roman" w:hAnsi="Times New Roman" w:cs="Times New Roman"/>
          <w:noProof w:val="0"/>
          <w:color w:val="333333"/>
          <w:sz w:val="24"/>
          <w:szCs w:val="24"/>
          <w:lang w:eastAsia="el-GR"/>
        </w:rPr>
        <w:t xml:space="preserve"> </w:t>
      </w:r>
      <w:bookmarkStart w:id="0" w:name="_GoBack"/>
      <w:r>
        <w:rPr>
          <w:rFonts w:ascii="Times New Roman" w:eastAsia="Times New Roman" w:hAnsi="Times New Roman" w:cs="Times New Roman"/>
          <w:noProof w:val="0"/>
          <w:color w:val="333333"/>
          <w:sz w:val="24"/>
          <w:szCs w:val="24"/>
          <w:lang w:eastAsia="el-GR"/>
        </w:rPr>
        <w:t>Απευθείας ανάθεση Έργων</w:t>
      </w:r>
      <w:r w:rsidRPr="001B6FB7">
        <w:t xml:space="preserve"> </w:t>
      </w:r>
      <w:r w:rsidRPr="001B6FB7">
        <w:rPr>
          <w:rFonts w:ascii="Times New Roman" w:eastAsia="Times New Roman" w:hAnsi="Times New Roman" w:cs="Times New Roman"/>
          <w:noProof w:val="0"/>
          <w:color w:val="333333"/>
          <w:sz w:val="24"/>
          <w:szCs w:val="24"/>
          <w:lang w:eastAsia="el-GR"/>
        </w:rPr>
        <w:t>Τοπικ</w:t>
      </w:r>
      <w:r>
        <w:rPr>
          <w:rFonts w:ascii="Times New Roman" w:eastAsia="Times New Roman" w:hAnsi="Times New Roman" w:cs="Times New Roman"/>
          <w:noProof w:val="0"/>
          <w:color w:val="333333"/>
          <w:sz w:val="24"/>
          <w:szCs w:val="24"/>
          <w:lang w:eastAsia="el-GR"/>
        </w:rPr>
        <w:t>ών Κοινο</w:t>
      </w:r>
      <w:r w:rsidRPr="001B6FB7">
        <w:rPr>
          <w:rFonts w:ascii="Times New Roman" w:eastAsia="Times New Roman" w:hAnsi="Times New Roman" w:cs="Times New Roman"/>
          <w:noProof w:val="0"/>
          <w:color w:val="333333"/>
          <w:sz w:val="24"/>
          <w:szCs w:val="24"/>
          <w:lang w:eastAsia="el-GR"/>
        </w:rPr>
        <w:t>τ</w:t>
      </w:r>
      <w:r>
        <w:rPr>
          <w:rFonts w:ascii="Times New Roman" w:eastAsia="Times New Roman" w:hAnsi="Times New Roman" w:cs="Times New Roman"/>
          <w:noProof w:val="0"/>
          <w:color w:val="333333"/>
          <w:sz w:val="24"/>
          <w:szCs w:val="24"/>
          <w:lang w:eastAsia="el-GR"/>
        </w:rPr>
        <w:t>ήτων</w:t>
      </w:r>
      <w:bookmarkEnd w:id="0"/>
    </w:p>
    <w:p w:rsidR="001B6FB7" w:rsidRPr="001B6FB7" w:rsidRDefault="001B6FB7" w:rsidP="001B6FB7">
      <w:pPr>
        <w:spacing w:after="0" w:line="240" w:lineRule="auto"/>
        <w:jc w:val="both"/>
        <w:rPr>
          <w:rFonts w:ascii="Times New Roman" w:eastAsia="Times New Roman" w:hAnsi="Times New Roman" w:cs="Times New Roman"/>
          <w:noProof w:val="0"/>
          <w:color w:val="333333"/>
          <w:sz w:val="24"/>
          <w:szCs w:val="24"/>
          <w:lang w:eastAsia="el-GR"/>
        </w:rPr>
      </w:pPr>
      <w:proofErr w:type="spellStart"/>
      <w:r w:rsidRPr="001B6FB7">
        <w:rPr>
          <w:rFonts w:ascii="Times New Roman" w:eastAsia="Times New Roman" w:hAnsi="Times New Roman" w:cs="Times New Roman"/>
          <w:noProof w:val="0"/>
          <w:color w:val="333333"/>
          <w:sz w:val="24"/>
          <w:szCs w:val="24"/>
          <w:lang w:eastAsia="el-GR"/>
        </w:rPr>
        <w:t>Ημ</w:t>
      </w:r>
      <w:proofErr w:type="spellEnd"/>
      <w:r w:rsidRPr="001B6FB7">
        <w:rPr>
          <w:rFonts w:ascii="Times New Roman" w:eastAsia="Times New Roman" w:hAnsi="Times New Roman" w:cs="Times New Roman"/>
          <w:noProof w:val="0"/>
          <w:color w:val="333333"/>
          <w:sz w:val="24"/>
          <w:szCs w:val="24"/>
          <w:lang w:eastAsia="el-GR"/>
        </w:rPr>
        <w:t>/</w:t>
      </w:r>
      <w:proofErr w:type="spellStart"/>
      <w:r w:rsidRPr="001B6FB7">
        <w:rPr>
          <w:rFonts w:ascii="Times New Roman" w:eastAsia="Times New Roman" w:hAnsi="Times New Roman" w:cs="Times New Roman"/>
          <w:noProof w:val="0"/>
          <w:color w:val="333333"/>
          <w:sz w:val="24"/>
          <w:szCs w:val="24"/>
          <w:lang w:eastAsia="el-GR"/>
        </w:rPr>
        <w:t>νία</w:t>
      </w:r>
      <w:proofErr w:type="spellEnd"/>
      <w:r w:rsidRPr="001B6FB7">
        <w:rPr>
          <w:rFonts w:ascii="Times New Roman" w:eastAsia="Times New Roman" w:hAnsi="Times New Roman" w:cs="Times New Roman"/>
          <w:noProof w:val="0"/>
          <w:color w:val="333333"/>
          <w:sz w:val="24"/>
          <w:szCs w:val="24"/>
          <w:lang w:eastAsia="el-GR"/>
        </w:rPr>
        <w:t xml:space="preserve"> υποβολής </w:t>
      </w:r>
      <w:r w:rsidRPr="001B6FB7">
        <w:rPr>
          <w:rFonts w:ascii="Times New Roman" w:eastAsia="Times New Roman" w:hAnsi="Times New Roman" w:cs="Times New Roman"/>
          <w:b/>
          <w:i/>
          <w:noProof w:val="0"/>
          <w:color w:val="7030A0"/>
          <w:sz w:val="24"/>
          <w:szCs w:val="24"/>
          <w:lang w:eastAsia="el-GR"/>
        </w:rPr>
        <w:t>0</w:t>
      </w:r>
      <w:r>
        <w:rPr>
          <w:rFonts w:ascii="Times New Roman" w:eastAsia="Times New Roman" w:hAnsi="Times New Roman" w:cs="Times New Roman"/>
          <w:b/>
          <w:i/>
          <w:noProof w:val="0"/>
          <w:color w:val="7030A0"/>
          <w:sz w:val="24"/>
          <w:szCs w:val="24"/>
          <w:lang w:eastAsia="el-GR"/>
        </w:rPr>
        <w:t>8/04</w:t>
      </w:r>
      <w:r w:rsidRPr="001B6FB7">
        <w:rPr>
          <w:rFonts w:ascii="Times New Roman" w:eastAsia="Times New Roman" w:hAnsi="Times New Roman" w:cs="Times New Roman"/>
          <w:b/>
          <w:i/>
          <w:noProof w:val="0"/>
          <w:color w:val="7030A0"/>
          <w:sz w:val="24"/>
          <w:szCs w:val="24"/>
          <w:lang w:eastAsia="el-GR"/>
        </w:rPr>
        <w:t>/2022</w:t>
      </w:r>
    </w:p>
    <w:p w:rsidR="001B6FB7" w:rsidRDefault="001B6FB7" w:rsidP="001B6FB7">
      <w:pPr>
        <w:spacing w:after="0" w:line="240" w:lineRule="auto"/>
        <w:jc w:val="both"/>
        <w:rPr>
          <w:rFonts w:ascii="Times New Roman" w:eastAsia="Times New Roman" w:hAnsi="Times New Roman" w:cs="Times New Roman"/>
          <w:b/>
          <w:noProof w:val="0"/>
          <w:color w:val="333333"/>
          <w:sz w:val="24"/>
          <w:szCs w:val="24"/>
          <w:lang w:eastAsia="el-GR"/>
        </w:rPr>
      </w:pPr>
    </w:p>
    <w:p w:rsidR="001B6FB7" w:rsidRPr="001B6FB7" w:rsidRDefault="001B6FB7" w:rsidP="001B6FB7">
      <w:pPr>
        <w:spacing w:after="0" w:line="240" w:lineRule="auto"/>
        <w:jc w:val="both"/>
        <w:rPr>
          <w:rFonts w:ascii="Times New Roman" w:eastAsia="Times New Roman" w:hAnsi="Times New Roman" w:cs="Times New Roman"/>
          <w:b/>
          <w:noProof w:val="0"/>
          <w:color w:val="333333"/>
          <w:sz w:val="24"/>
          <w:szCs w:val="24"/>
          <w:lang w:eastAsia="el-GR"/>
        </w:rPr>
      </w:pPr>
      <w:r w:rsidRPr="001B6FB7">
        <w:rPr>
          <w:rFonts w:ascii="Times New Roman" w:eastAsia="Times New Roman" w:hAnsi="Times New Roman" w:cs="Times New Roman"/>
          <w:b/>
          <w:noProof w:val="0"/>
          <w:color w:val="333333"/>
          <w:sz w:val="24"/>
          <w:szCs w:val="24"/>
          <w:lang w:eastAsia="el-GR"/>
        </w:rPr>
        <w:t xml:space="preserve">Ερώτηση </w:t>
      </w:r>
    </w:p>
    <w:p w:rsidR="001B6FB7" w:rsidRPr="001B6FB7" w:rsidRDefault="00BF70C4" w:rsidP="00BF70C4">
      <w:pPr>
        <w:spacing w:line="240" w:lineRule="auto"/>
        <w:jc w:val="both"/>
        <w:rPr>
          <w:rFonts w:ascii="Times New Roman" w:eastAsia="Times New Roman" w:hAnsi="Times New Roman" w:cs="Times New Roman"/>
          <w:noProof w:val="0"/>
          <w:color w:val="333333"/>
          <w:sz w:val="24"/>
          <w:szCs w:val="24"/>
          <w:lang w:eastAsia="el-GR"/>
        </w:rPr>
      </w:pPr>
      <w:r w:rsidRPr="001B6FB7">
        <w:rPr>
          <w:rFonts w:ascii="Times New Roman" w:eastAsia="Times New Roman" w:hAnsi="Times New Roman" w:cs="Times New Roman"/>
          <w:noProof w:val="0"/>
          <w:color w:val="333333"/>
          <w:sz w:val="24"/>
          <w:szCs w:val="24"/>
          <w:lang w:eastAsia="el-GR"/>
        </w:rPr>
        <w:t xml:space="preserve">Στον προϋπολογισμό έτους 2022 του Δήμου έχουν εγγραφεί με ξεχωριστό Κ.Α τα εξής έργα: 1. Τεχνικά έργα στην Τοπική Κοινότητα Α, ποσού 60.000 2. Τεχνικά έργα στην Τοπική Κοινότητα Β, ποσού 60.000 3. Τεχνικά έργα στην Τοπική Κοινότητα Γ, ποσού 60.000 Όλες οι ανωτέρω τοπικές Κοινότητες ανήκουν στην ίδια Δημοτική Ενότητα Πρόκειται για έργα: • Με παρεμφερές CPV • Που ανήκουν στην ίδια Τοπική Ενότητα (γεωγραφικό πλαίσιο) • Με το ίδιο τεχνικό αντικείμενο • Που προβλέπεται η έναρξη της διαδικασίας ανάθεσής τους να γίνει εντός του ιδίου έτους (για παράδειγμα εντός 2 μηνών) Σύμφωνα με την παρ.1 του άρθρου 12 του ΠΔ 171/87, όπως τροποποιήθηκε από το άρθρο 68 του Ν. 4257/2014, « «Επιτρέπεται η κατάτμηση των δημοτικών έργων και η σύνταξη των αντίστοιχων μελετών, με αναγραφή στον προϋπολογισμό του Δήμου </w:t>
      </w:r>
      <w:proofErr w:type="spellStart"/>
      <w:r w:rsidRPr="001B6FB7">
        <w:rPr>
          <w:rFonts w:ascii="Times New Roman" w:eastAsia="Times New Roman" w:hAnsi="Times New Roman" w:cs="Times New Roman"/>
          <w:noProof w:val="0"/>
          <w:color w:val="333333"/>
          <w:sz w:val="24"/>
          <w:szCs w:val="24"/>
          <w:lang w:eastAsia="el-GR"/>
        </w:rPr>
        <w:t>κατατμημένων</w:t>
      </w:r>
      <w:proofErr w:type="spellEnd"/>
      <w:r w:rsidRPr="001B6FB7">
        <w:rPr>
          <w:rFonts w:ascii="Times New Roman" w:eastAsia="Times New Roman" w:hAnsi="Times New Roman" w:cs="Times New Roman"/>
          <w:noProof w:val="0"/>
          <w:color w:val="333333"/>
          <w:sz w:val="24"/>
          <w:szCs w:val="24"/>
          <w:lang w:eastAsia="el-GR"/>
        </w:rPr>
        <w:t xml:space="preserve"> πιστώσεων για την εκτέλεση αυτών, ανά δημοτική ή τοπική κοινότητα..» Το ανωτέρω άρθρο δεν έχει καταργηθεί με τον Ν.4412/2016 Επίσης έχει εκδοθεί η </w:t>
      </w:r>
      <w:proofErr w:type="spellStart"/>
      <w:r w:rsidRPr="001B6FB7">
        <w:rPr>
          <w:rFonts w:ascii="Times New Roman" w:eastAsia="Times New Roman" w:hAnsi="Times New Roman" w:cs="Times New Roman"/>
          <w:noProof w:val="0"/>
          <w:color w:val="333333"/>
          <w:sz w:val="24"/>
          <w:szCs w:val="24"/>
          <w:lang w:eastAsia="el-GR"/>
        </w:rPr>
        <w:t>αριθμ</w:t>
      </w:r>
      <w:proofErr w:type="spellEnd"/>
      <w:r w:rsidRPr="001B6FB7">
        <w:rPr>
          <w:rFonts w:ascii="Times New Roman" w:eastAsia="Times New Roman" w:hAnsi="Times New Roman" w:cs="Times New Roman"/>
          <w:noProof w:val="0"/>
          <w:color w:val="333333"/>
          <w:sz w:val="24"/>
          <w:szCs w:val="24"/>
          <w:lang w:eastAsia="el-GR"/>
        </w:rPr>
        <w:t xml:space="preserve">. 25/28-8-2020 κατευθυντήρια οδηγία της </w:t>
      </w:r>
      <w:proofErr w:type="spellStart"/>
      <w:r w:rsidRPr="001B6FB7">
        <w:rPr>
          <w:rFonts w:ascii="Times New Roman" w:eastAsia="Times New Roman" w:hAnsi="Times New Roman" w:cs="Times New Roman"/>
          <w:noProof w:val="0"/>
          <w:color w:val="333333"/>
          <w:sz w:val="24"/>
          <w:szCs w:val="24"/>
          <w:lang w:eastAsia="el-GR"/>
        </w:rPr>
        <w:t>ΕΑΔΗΣΥ,η</w:t>
      </w:r>
      <w:proofErr w:type="spellEnd"/>
      <w:r w:rsidRPr="001B6FB7">
        <w:rPr>
          <w:rFonts w:ascii="Times New Roman" w:eastAsia="Times New Roman" w:hAnsi="Times New Roman" w:cs="Times New Roman"/>
          <w:noProof w:val="0"/>
          <w:color w:val="333333"/>
          <w:sz w:val="24"/>
          <w:szCs w:val="24"/>
          <w:lang w:eastAsia="el-GR"/>
        </w:rPr>
        <w:t xml:space="preserve"> οποία αναφέρεται στα κριτήρια περί χαρακτηρισμού της τεχνητής κατάτμησης έργων. </w:t>
      </w:r>
    </w:p>
    <w:p w:rsidR="001B6FB7" w:rsidRPr="001B6FB7" w:rsidRDefault="00BF70C4" w:rsidP="00BF70C4">
      <w:pPr>
        <w:spacing w:line="240" w:lineRule="auto"/>
        <w:jc w:val="both"/>
        <w:rPr>
          <w:rFonts w:ascii="Times New Roman" w:eastAsia="Times New Roman" w:hAnsi="Times New Roman" w:cs="Times New Roman"/>
          <w:noProof w:val="0"/>
          <w:color w:val="333333"/>
          <w:sz w:val="24"/>
          <w:szCs w:val="24"/>
          <w:lang w:eastAsia="el-GR"/>
        </w:rPr>
      </w:pPr>
      <w:r w:rsidRPr="001B6FB7">
        <w:rPr>
          <w:rFonts w:ascii="Times New Roman" w:eastAsia="Times New Roman" w:hAnsi="Times New Roman" w:cs="Times New Roman"/>
          <w:noProof w:val="0"/>
          <w:color w:val="333333"/>
          <w:sz w:val="24"/>
          <w:szCs w:val="24"/>
          <w:lang w:eastAsia="el-GR"/>
        </w:rPr>
        <w:t xml:space="preserve">ΕΡΩΤΗΣΗ: </w:t>
      </w:r>
    </w:p>
    <w:p w:rsidR="001B6FB7" w:rsidRPr="001B6FB7" w:rsidRDefault="00BF70C4" w:rsidP="00BF70C4">
      <w:pPr>
        <w:spacing w:line="240" w:lineRule="auto"/>
        <w:jc w:val="both"/>
        <w:rPr>
          <w:rFonts w:ascii="Times New Roman" w:eastAsia="Times New Roman" w:hAnsi="Times New Roman" w:cs="Times New Roman"/>
          <w:noProof w:val="0"/>
          <w:color w:val="333333"/>
          <w:sz w:val="24"/>
          <w:szCs w:val="24"/>
          <w:lang w:eastAsia="el-GR"/>
        </w:rPr>
      </w:pPr>
      <w:r w:rsidRPr="001B6FB7">
        <w:rPr>
          <w:rFonts w:ascii="Times New Roman" w:eastAsia="Times New Roman" w:hAnsi="Times New Roman" w:cs="Times New Roman"/>
          <w:noProof w:val="0"/>
          <w:color w:val="333333"/>
          <w:sz w:val="24"/>
          <w:szCs w:val="24"/>
          <w:lang w:eastAsia="el-GR"/>
        </w:rPr>
        <w:t xml:space="preserve">1. Τα ανωτέρω δημοτικά έργα μπορούν εκτελεστούν αυτοτελώς με την διαδικασία της απευθείας ανάθεσης λαμβάνοντας υπόψη την παρ 1 του άρθρου 12 του ΠΔ 171/87? </w:t>
      </w:r>
    </w:p>
    <w:p w:rsidR="001B6FB7" w:rsidRPr="001B6FB7" w:rsidRDefault="00BF70C4" w:rsidP="00BF70C4">
      <w:pPr>
        <w:spacing w:line="240" w:lineRule="auto"/>
        <w:jc w:val="both"/>
        <w:rPr>
          <w:rFonts w:ascii="Times New Roman" w:eastAsia="Times New Roman" w:hAnsi="Times New Roman" w:cs="Times New Roman"/>
          <w:noProof w:val="0"/>
          <w:color w:val="333333"/>
          <w:sz w:val="24"/>
          <w:szCs w:val="24"/>
          <w:lang w:eastAsia="el-GR"/>
        </w:rPr>
      </w:pPr>
      <w:r w:rsidRPr="001B6FB7">
        <w:rPr>
          <w:rFonts w:ascii="Times New Roman" w:eastAsia="Times New Roman" w:hAnsi="Times New Roman" w:cs="Times New Roman"/>
          <w:noProof w:val="0"/>
          <w:color w:val="333333"/>
          <w:sz w:val="24"/>
          <w:szCs w:val="24"/>
          <w:lang w:eastAsia="el-GR"/>
        </w:rPr>
        <w:t>2. Στην περίπτωση που δεν επιτρέπεται η απευθείας ανάθεση τους, υπάρχει η δυνατότητα αρχικά της απευθείας ανάθεσης του ενός έργου (</w:t>
      </w:r>
      <w:proofErr w:type="spellStart"/>
      <w:r w:rsidRPr="001B6FB7">
        <w:rPr>
          <w:rFonts w:ascii="Times New Roman" w:eastAsia="Times New Roman" w:hAnsi="Times New Roman" w:cs="Times New Roman"/>
          <w:noProof w:val="0"/>
          <w:color w:val="333333"/>
          <w:sz w:val="24"/>
          <w:szCs w:val="24"/>
          <w:lang w:eastAsia="el-GR"/>
        </w:rPr>
        <w:t>π.χ</w:t>
      </w:r>
      <w:proofErr w:type="spellEnd"/>
      <w:r w:rsidRPr="001B6FB7">
        <w:rPr>
          <w:rFonts w:ascii="Times New Roman" w:eastAsia="Times New Roman" w:hAnsi="Times New Roman" w:cs="Times New Roman"/>
          <w:noProof w:val="0"/>
          <w:color w:val="333333"/>
          <w:sz w:val="24"/>
          <w:szCs w:val="24"/>
          <w:lang w:eastAsia="el-GR"/>
        </w:rPr>
        <w:t xml:space="preserve"> Τεχνικά έργα στην Τοπική Κοινότητα Α, ποσού 60.000€) και στην συνέχεια η δημοπράτηση των υπολοίπων (ανοικτή διαδικασία)? </w:t>
      </w:r>
    </w:p>
    <w:p w:rsidR="00BF70C4" w:rsidRPr="001B6FB7" w:rsidRDefault="00BF70C4" w:rsidP="00BF70C4">
      <w:pPr>
        <w:spacing w:line="240" w:lineRule="auto"/>
        <w:jc w:val="both"/>
        <w:rPr>
          <w:rFonts w:ascii="Times New Roman" w:eastAsia="Times New Roman" w:hAnsi="Times New Roman" w:cs="Times New Roman"/>
          <w:noProof w:val="0"/>
          <w:color w:val="333333"/>
          <w:sz w:val="24"/>
          <w:szCs w:val="24"/>
          <w:lang w:eastAsia="el-GR"/>
        </w:rPr>
      </w:pPr>
      <w:r w:rsidRPr="001B6FB7">
        <w:rPr>
          <w:rFonts w:ascii="Times New Roman" w:eastAsia="Times New Roman" w:hAnsi="Times New Roman" w:cs="Times New Roman"/>
          <w:noProof w:val="0"/>
          <w:color w:val="333333"/>
          <w:sz w:val="24"/>
          <w:szCs w:val="24"/>
          <w:lang w:eastAsia="el-GR"/>
        </w:rPr>
        <w:t>3.Πως προσδιορίζεται η χρονική εγγύτητα που αναφέρεται στην κατευθυντήρια οδηγία της ΕΑΔΗΣΥ («ταυτόχρονη έναρξη»)?</w:t>
      </w:r>
    </w:p>
    <w:p w:rsidR="00BF70C4" w:rsidRPr="001B6FB7" w:rsidRDefault="00BF70C4" w:rsidP="00BF70C4">
      <w:pPr>
        <w:spacing w:line="240" w:lineRule="auto"/>
        <w:jc w:val="both"/>
        <w:rPr>
          <w:rFonts w:ascii="Times New Roman" w:eastAsia="Times New Roman" w:hAnsi="Times New Roman" w:cs="Times New Roman"/>
          <w:b/>
          <w:noProof w:val="0"/>
          <w:color w:val="333333"/>
          <w:sz w:val="24"/>
          <w:szCs w:val="24"/>
          <w:lang w:eastAsia="el-GR"/>
        </w:rPr>
      </w:pPr>
      <w:r w:rsidRPr="001B6FB7">
        <w:rPr>
          <w:rFonts w:ascii="Times New Roman" w:eastAsia="Times New Roman" w:hAnsi="Times New Roman" w:cs="Times New Roman"/>
          <w:b/>
          <w:noProof w:val="0"/>
          <w:color w:val="333333"/>
          <w:sz w:val="24"/>
          <w:szCs w:val="24"/>
          <w:lang w:eastAsia="el-GR"/>
        </w:rPr>
        <w:t>Απάντηση</w:t>
      </w:r>
    </w:p>
    <w:p w:rsidR="00BF70C4" w:rsidRPr="001B6FB7" w:rsidRDefault="00BF70C4" w:rsidP="00BF70C4">
      <w:pPr>
        <w:pStyle w:val="Web"/>
        <w:jc w:val="both"/>
        <w:rPr>
          <w:color w:val="333333"/>
        </w:rPr>
      </w:pPr>
      <w:r w:rsidRPr="001B6FB7">
        <w:rPr>
          <w:color w:val="333333"/>
        </w:rPr>
        <w:t>Σύμφωνα με την παρ. 14 του άρθρου 6 του Ν.4071/2012 (όπως αντικαταστάθηκε από το άρθρο 26 του Ν.4585/2018), </w:t>
      </w:r>
      <w:r w:rsidRPr="001B6FB7">
        <w:rPr>
          <w:rStyle w:val="a3"/>
          <w:color w:val="333333"/>
        </w:rPr>
        <w:t>Όμοιες ή ομοειδείς δαπάνες δύνανται να εγγραφούν σε ξεχωριστές πιστώσεις, κατά Ειδικό Φορέα και ΚΑΕ στον εγκεκριμένο προϋπολογισμό της Περιφέρειας ή του Δήμου ή της Δ.Ε.Υ.Α. και να εκτελεστούν αυτοτελώς, εφόσον αφορούν σε διαφορετικές περιφερειακές ή δημοτικές ενότητες, αντιστοίχως.</w:t>
      </w:r>
    </w:p>
    <w:p w:rsidR="00BF70C4" w:rsidRPr="001B6FB7" w:rsidRDefault="00BF70C4" w:rsidP="00BF70C4">
      <w:pPr>
        <w:pStyle w:val="Web"/>
        <w:jc w:val="both"/>
        <w:rPr>
          <w:color w:val="333333"/>
        </w:rPr>
      </w:pPr>
      <w:r w:rsidRPr="001B6FB7">
        <w:rPr>
          <w:color w:val="333333"/>
        </w:rPr>
        <w:t>Σύμφωνα με την αιτιολογική έκθεση, με την ανωτέρω διάταξη της παραγράφου 14 επιτρέπεται η εγγραφή όμοιων ή ομοειδών πιστώσεων σε διαφορετικούς κωδικούς αριθμούς του προϋπολογισμού του Δήμου εφόσον κάθε εγγραφή αναφέρεται σε διαφορετική δημοτική ενότητα. Η ρύθμιση αφορά κάθε είδος εγγραφής δηλαδή πιστώσεις για εκτέλεση έργων, προμηθειών, εργασιών ή μελετών και είναι αναγκαία διότι επιτρέπει την διενέργεια των διαδικασιών ανάθεσης από τις διευθύνσεις τεχνικών υπηρεσιών των δημοτικών ενοτήτων έτσι ώστε να επιτυγχάνονται ταχύτερες διαδικασίες, να αποφεύγονται οι μετακινήσεις προσωπικού για την διεκπεραίωση των διαδικασιών ανάθεσης και να καθίσταται ευχερέστερη η πρόσβαση των προμηθευτών και εργοληπτών κάθε περιοχής στους διαγωνισμούς που έχουν τοπική αναφορά έτσι ώστε να ενισχύεται η τοπική οικονομία, ιδίως στις σημερινές συνθήκες της οικονομικής κρίσης.</w:t>
      </w:r>
    </w:p>
    <w:p w:rsidR="00BF70C4" w:rsidRPr="001B6FB7" w:rsidRDefault="00BF70C4" w:rsidP="00BF70C4">
      <w:pPr>
        <w:pStyle w:val="Web"/>
        <w:jc w:val="both"/>
        <w:rPr>
          <w:color w:val="333333"/>
        </w:rPr>
      </w:pPr>
      <w:r w:rsidRPr="001B6FB7">
        <w:rPr>
          <w:color w:val="333333"/>
        </w:rPr>
        <w:lastRenderedPageBreak/>
        <w:t>Όπως ορθώς αναφέρετε, σύμφωνα με την παρ 1 του άρθρου 12 του ΠΔ 171/87 (όπως τροποποιήθηκε από το άρθρο 68 του Ν. 4257/2014), </w:t>
      </w:r>
      <w:r w:rsidRPr="001B6FB7">
        <w:rPr>
          <w:rStyle w:val="a3"/>
          <w:color w:val="333333"/>
        </w:rPr>
        <w:t xml:space="preserve">επιτρέπεται η κατάτμηση των δημοτικών έργων και η σύνταξη των αντίστοιχων μελετών, με αναγραφή στον προϋπολογισμό του Δήμου </w:t>
      </w:r>
      <w:proofErr w:type="spellStart"/>
      <w:r w:rsidRPr="001B6FB7">
        <w:rPr>
          <w:rStyle w:val="a3"/>
          <w:color w:val="333333"/>
        </w:rPr>
        <w:t>κατατμημένων</w:t>
      </w:r>
      <w:proofErr w:type="spellEnd"/>
      <w:r w:rsidRPr="001B6FB7">
        <w:rPr>
          <w:rStyle w:val="a3"/>
          <w:color w:val="333333"/>
        </w:rPr>
        <w:t xml:space="preserve"> πιστώσεων για την εκτέλεση αυτών, ανά δημοτική ή τοπική κοινότητα ή σε οργανωμένους οικισμούς με λιγότερους από 200 κατοίκους των νησιωτικών δήμων με πληθυσμό μέχρι 2000 κατοίκους.</w:t>
      </w:r>
    </w:p>
    <w:p w:rsidR="00BF70C4" w:rsidRPr="001B6FB7" w:rsidRDefault="00BF70C4" w:rsidP="00BF70C4">
      <w:pPr>
        <w:pStyle w:val="Web"/>
        <w:jc w:val="both"/>
        <w:rPr>
          <w:color w:val="333333"/>
        </w:rPr>
      </w:pPr>
      <w:r w:rsidRPr="001B6FB7">
        <w:rPr>
          <w:color w:val="333333"/>
        </w:rPr>
        <w:t xml:space="preserve">Υπενθυμίζουμε ότι μέχρι τη δημοσίευση του ν. 4071/2012 επιτρεπόταν η κατάτμηση μόνο των δημοτικών έργων και η σύνταξη των αντίστοιχων μελετών, με αναγραφή στον προϋπολογισμό του Δήμου </w:t>
      </w:r>
      <w:proofErr w:type="spellStart"/>
      <w:r w:rsidRPr="001B6FB7">
        <w:rPr>
          <w:color w:val="333333"/>
        </w:rPr>
        <w:t>κατατμημένων</w:t>
      </w:r>
      <w:proofErr w:type="spellEnd"/>
      <w:r w:rsidRPr="001B6FB7">
        <w:rPr>
          <w:color w:val="333333"/>
        </w:rPr>
        <w:t xml:space="preserve"> πιστώσεων για την εκτέλεση αυτών, ανά δημοτικό ή τοπικό διαμέρισμα (και όχι μόνο ανά δημοτική ενότητα). . Εξυπακούεται ότι η ειδικότερη αυτή διάταξη για τα τεχνικά έργα συνεχίζει να ισχύει</w:t>
      </w:r>
      <w:r w:rsidRPr="001B6FB7">
        <w:rPr>
          <w:rStyle w:val="a3"/>
          <w:color w:val="333333"/>
        </w:rPr>
        <w:t xml:space="preserve"> (Ελ. Συν. </w:t>
      </w:r>
      <w:proofErr w:type="spellStart"/>
      <w:r w:rsidRPr="001B6FB7">
        <w:rPr>
          <w:rStyle w:val="a3"/>
          <w:color w:val="333333"/>
        </w:rPr>
        <w:t>Κλιμ</w:t>
      </w:r>
      <w:proofErr w:type="spellEnd"/>
      <w:r w:rsidRPr="001B6FB7">
        <w:rPr>
          <w:rStyle w:val="a3"/>
          <w:color w:val="333333"/>
        </w:rPr>
        <w:t>. Τμ. 7 Πράξη 73/2013).</w:t>
      </w:r>
    </w:p>
    <w:p w:rsidR="00BF70C4" w:rsidRPr="001B6FB7" w:rsidRDefault="00BF70C4" w:rsidP="00BF70C4">
      <w:pPr>
        <w:pStyle w:val="Web"/>
        <w:jc w:val="both"/>
        <w:rPr>
          <w:color w:val="333333"/>
        </w:rPr>
      </w:pPr>
      <w:r w:rsidRPr="001B6FB7">
        <w:rPr>
          <w:color w:val="333333"/>
        </w:rPr>
        <w:t>Επιτρέπεται η κατάτμηση των έργων και των αντίστοιχων μελετών τους ανά τοπική κοινότητα και όχι ανά οικισμό εκάστης τοπικής κοινότητας</w:t>
      </w:r>
      <w:r w:rsidRPr="001B6FB7">
        <w:rPr>
          <w:rStyle w:val="a3"/>
          <w:color w:val="333333"/>
        </w:rPr>
        <w:t xml:space="preserve">. (Ελ. Συν. </w:t>
      </w:r>
      <w:proofErr w:type="spellStart"/>
      <w:r w:rsidRPr="001B6FB7">
        <w:rPr>
          <w:rStyle w:val="a3"/>
          <w:color w:val="333333"/>
        </w:rPr>
        <w:t>Κλιμ</w:t>
      </w:r>
      <w:proofErr w:type="spellEnd"/>
      <w:r w:rsidRPr="001B6FB7">
        <w:rPr>
          <w:rStyle w:val="a3"/>
          <w:color w:val="333333"/>
        </w:rPr>
        <w:t>. Τμ. 7 Πράξη 103/2018)</w:t>
      </w:r>
    </w:p>
    <w:p w:rsidR="00BF70C4" w:rsidRPr="001B6FB7" w:rsidRDefault="00BF70C4" w:rsidP="00BF70C4">
      <w:pPr>
        <w:pStyle w:val="Web"/>
        <w:jc w:val="both"/>
        <w:rPr>
          <w:color w:val="333333"/>
        </w:rPr>
      </w:pPr>
      <w:r w:rsidRPr="001B6FB7">
        <w:rPr>
          <w:rStyle w:val="a4"/>
          <w:color w:val="333333"/>
          <w:u w:val="single"/>
        </w:rPr>
        <w:t>Ύπαρξη δυνατότητας κατάτμησης μιας σύμβασης ανά δημοτική ενότητα</w:t>
      </w:r>
      <w:r w:rsidRPr="001B6FB7">
        <w:rPr>
          <w:color w:val="333333"/>
        </w:rPr>
        <w:t> </w:t>
      </w:r>
      <w:r w:rsidRPr="001B6FB7">
        <w:rPr>
          <w:rStyle w:val="a4"/>
          <w:color w:val="333333"/>
          <w:u w:val="single"/>
        </w:rPr>
        <w:t>μετά την ισχύ του Ν.4412/2016</w:t>
      </w:r>
    </w:p>
    <w:p w:rsidR="00BF70C4" w:rsidRPr="001B6FB7" w:rsidRDefault="00BF70C4" w:rsidP="00BF70C4">
      <w:pPr>
        <w:pStyle w:val="Web"/>
        <w:jc w:val="both"/>
        <w:rPr>
          <w:color w:val="333333"/>
        </w:rPr>
      </w:pPr>
      <w:r w:rsidRPr="001B6FB7">
        <w:rPr>
          <w:color w:val="333333"/>
        </w:rPr>
        <w:t>Μετά την ισχύ του Ν.4412/2016 δημιουργήθηκε το ερώτημα εάν παραμένει σε ισχύ η διάταξη της παρ.14 του άρθρου 6 του ν. 4071/2012, που έδινε τη δυνατότητα της κατάτμησης μιας σύμβασης ανά δημοτική ενότητα, σύμφωνα με τα ειδικότερα οριζόμενα στη διάταξη αυτή.</w:t>
      </w:r>
    </w:p>
    <w:p w:rsidR="00BF70C4" w:rsidRPr="001B6FB7" w:rsidRDefault="00BF70C4" w:rsidP="00BF70C4">
      <w:pPr>
        <w:pStyle w:val="Web"/>
        <w:jc w:val="both"/>
        <w:rPr>
          <w:color w:val="333333"/>
        </w:rPr>
      </w:pPr>
      <w:r w:rsidRPr="001B6FB7">
        <w:rPr>
          <w:color w:val="333333"/>
        </w:rPr>
        <w:t>Δεδομένης της διαφορετικής αντιμετώπισης και ερμηνείας του ισχύοντος θεσμικού πλαισίου μεταξύ των επίσημων Δικαστηρίων (</w:t>
      </w:r>
      <w:proofErr w:type="spellStart"/>
      <w:r w:rsidRPr="001B6FB7">
        <w:rPr>
          <w:color w:val="333333"/>
        </w:rPr>
        <w:t>ΕλΣυν</w:t>
      </w:r>
      <w:proofErr w:type="spellEnd"/>
      <w:r w:rsidRPr="001B6FB7">
        <w:rPr>
          <w:color w:val="333333"/>
        </w:rPr>
        <w:t>) και φορέων (ΕΑΑΔΗΣΥ, ΜΟΠΑΔΙΣ και Μονάδας παρακολούθησης διαγωνισμών) – των οποίων τις θέσεις παραθέτουμε κατωτέρω - η ισχύς της ανωτέρω διάταξης μετά το Ν.4412/2016 είναι αμφίβολη.</w:t>
      </w:r>
    </w:p>
    <w:p w:rsidR="00BF70C4" w:rsidRPr="001B6FB7" w:rsidRDefault="00BF70C4" w:rsidP="00BF70C4">
      <w:pPr>
        <w:pStyle w:val="Web"/>
        <w:jc w:val="both"/>
        <w:rPr>
          <w:color w:val="333333"/>
        </w:rPr>
      </w:pPr>
      <w:r w:rsidRPr="001B6FB7">
        <w:rPr>
          <w:rStyle w:val="a4"/>
          <w:color w:val="333333"/>
          <w:u w:val="single"/>
        </w:rPr>
        <w:t>Απόψεις της ΕΑΑΔΗΣΥ και ΜΟΠΑΔΙΣ</w:t>
      </w:r>
    </w:p>
    <w:p w:rsidR="00BF70C4" w:rsidRPr="001B6FB7" w:rsidRDefault="00BF70C4" w:rsidP="00BF70C4">
      <w:pPr>
        <w:pStyle w:val="Web"/>
        <w:jc w:val="both"/>
        <w:rPr>
          <w:color w:val="333333"/>
        </w:rPr>
      </w:pPr>
      <w:r w:rsidRPr="001B6FB7">
        <w:rPr>
          <w:color w:val="333333"/>
        </w:rPr>
        <w:t>Η δυνατότητα εγγραφής ξεχωριστών πιστώσεων ανά δημοτική ενότητα προβλέφθηκε με την παρ.14  του άρθρου 6 του Ν.4071/2012.</w:t>
      </w:r>
    </w:p>
    <w:p w:rsidR="00BF70C4" w:rsidRPr="001B6FB7" w:rsidRDefault="00BF70C4" w:rsidP="00BF70C4">
      <w:pPr>
        <w:pStyle w:val="Web"/>
        <w:jc w:val="both"/>
        <w:rPr>
          <w:color w:val="333333"/>
        </w:rPr>
      </w:pPr>
      <w:r w:rsidRPr="001B6FB7">
        <w:rPr>
          <w:color w:val="333333"/>
        </w:rPr>
        <w:t>Μετά την έναρξη ισχύος του Ν.4412/2016 τέθηκε το ερώτημα εάν η ανωτέρω διάταξη παραμένει σε ισχύ, δηλαδή εάν μπορούν ουσιαστικά να διενεργούνται απευθείας αναθέσεις ανά δημοτική ενότητα, εφόσον φυσικά πληρούνται οι λοιπές προϋποθέσεις του νόμου. Η άποψη που εξέφρασε τηλεφωνικά η αρμόδια διεύθυνση του Υπουργείου Εσωτερικών ήταν πως παραμένει σε ισχύ, δεδομένου ότι είναι ειδική διάταξη και δεν καταργείται ρητά από το νέο νόμο.</w:t>
      </w:r>
    </w:p>
    <w:p w:rsidR="00BF70C4" w:rsidRPr="001B6FB7" w:rsidRDefault="00BF70C4" w:rsidP="00BF70C4">
      <w:pPr>
        <w:pStyle w:val="Web"/>
        <w:jc w:val="both"/>
        <w:rPr>
          <w:color w:val="333333"/>
        </w:rPr>
      </w:pPr>
      <w:r w:rsidRPr="001B6FB7">
        <w:rPr>
          <w:color w:val="333333"/>
        </w:rPr>
        <w:t xml:space="preserve">Ωστόσο, η ΕΑΑΔΗΣΥ φαίνεται να έχει διαφορετική άποψη. Συγκεκριμένα, μετά από ερώτημα που υποβλήθηκε από Δήμο, με το </w:t>
      </w:r>
      <w:proofErr w:type="spellStart"/>
      <w:r w:rsidRPr="001B6FB7">
        <w:rPr>
          <w:color w:val="333333"/>
        </w:rPr>
        <w:t>υπ'αριθ</w:t>
      </w:r>
      <w:proofErr w:type="spellEnd"/>
      <w:r w:rsidRPr="001B6FB7">
        <w:rPr>
          <w:color w:val="333333"/>
        </w:rPr>
        <w:t xml:space="preserve">. </w:t>
      </w:r>
      <w:proofErr w:type="spellStart"/>
      <w:r w:rsidRPr="001B6FB7">
        <w:rPr>
          <w:color w:val="333333"/>
        </w:rPr>
        <w:t>πρωτ</w:t>
      </w:r>
      <w:proofErr w:type="spellEnd"/>
      <w:r w:rsidRPr="001B6FB7">
        <w:rPr>
          <w:color w:val="333333"/>
        </w:rPr>
        <w:t xml:space="preserve">. 2792/10.05.2017 έγγραφό της, απαντά ως εξής: «Κατά την άποψή μας, το άρθρο 6, παρ. 14 του ν. 4071/2012, το οποίο εξακολουθεί να ισχύει και μετά τη θέση σε ισχύ του ν. 4412/2016 εισάγει διάταξη </w:t>
      </w:r>
      <w:proofErr w:type="spellStart"/>
      <w:r w:rsidRPr="001B6FB7">
        <w:rPr>
          <w:color w:val="333333"/>
        </w:rPr>
        <w:t>δημοσιολογιστικού</w:t>
      </w:r>
      <w:proofErr w:type="spellEnd"/>
      <w:r w:rsidRPr="001B6FB7">
        <w:rPr>
          <w:color w:val="333333"/>
        </w:rPr>
        <w:t xml:space="preserve"> περιεχομένου, η οποία αφορά μόνο στο ζήτημα της εγγραφής στον προϋπολογισμό και της αυτοτελούς εκτέλεσης ομοίων ή ομοειδών δαπανών. Ο πυρήνας της διάταξης έγκειται στη χωριστή λογιστική απεικόνιση των σχετικών δαπανών, ώστε να καθίσταται ευχερέστερη η διαδικασία </w:t>
      </w:r>
      <w:proofErr w:type="spellStart"/>
      <w:r w:rsidRPr="001B6FB7">
        <w:rPr>
          <w:color w:val="333333"/>
        </w:rPr>
        <w:t>ενταλματοποίησης</w:t>
      </w:r>
      <w:proofErr w:type="spellEnd"/>
      <w:r w:rsidRPr="001B6FB7">
        <w:rPr>
          <w:color w:val="333333"/>
        </w:rPr>
        <w:t xml:space="preserve"> και αποπληρωμής τους - δεν </w:t>
      </w:r>
      <w:r w:rsidRPr="001B6FB7">
        <w:rPr>
          <w:color w:val="333333"/>
        </w:rPr>
        <w:lastRenderedPageBreak/>
        <w:t>εισάγει κανόνα σχετικό με τον υπολογισμό της αξίας των δημοσίων συμβάσεων, ούτε επιτρέπει τον σχεδίασμά της διεξαγωγής διαγωνιστικών διαδικασιών σε επίπεδο περιφερειακής ή δημοτικής ενότητας, ασχέτως της μέχρι σήμερα ακολουθούμενης πρακτικής. Εξάλλου, στην περίπτωση κατά την οποία ήθελε θεωρηθεί ότι η ανωτέρω διάταξη ρυθμίζει ζητήματα δημοσίων συμβάσεων, τότε αυτή θα έπρεπε να θεωρείται ήδη καταργημένη, βάσει του άρθρου 377, παρ. 4 του ν. 4412/2016, όπου και ορίζεται ρητώς ότι "καταργείται κάθε γενική ή ειδική διάταξη που είναι αντίθετη με τις διατάξεις του παρόντος ή ρυθμίζει τα θέματα αυτά με άλλον τρόπο".</w:t>
      </w:r>
    </w:p>
    <w:p w:rsidR="00BF70C4" w:rsidRPr="001B6FB7" w:rsidRDefault="00BF70C4" w:rsidP="00BF70C4">
      <w:pPr>
        <w:pStyle w:val="Web"/>
        <w:jc w:val="both"/>
        <w:rPr>
          <w:color w:val="333333"/>
        </w:rPr>
      </w:pPr>
      <w:r w:rsidRPr="001B6FB7">
        <w:rPr>
          <w:rStyle w:val="a4"/>
          <w:color w:val="333333"/>
          <w:u w:val="single"/>
        </w:rPr>
        <w:t>Θέση του Ελεγκτικού Συνεδρίου</w:t>
      </w:r>
    </w:p>
    <w:p w:rsidR="00BF70C4" w:rsidRPr="001B6FB7" w:rsidRDefault="00BF70C4" w:rsidP="00BF70C4">
      <w:pPr>
        <w:pStyle w:val="Web"/>
        <w:jc w:val="both"/>
        <w:rPr>
          <w:color w:val="333333"/>
        </w:rPr>
      </w:pPr>
      <w:r w:rsidRPr="001B6FB7">
        <w:rPr>
          <w:rStyle w:val="a4"/>
          <w:color w:val="333333"/>
        </w:rPr>
        <w:t>Το Ελεγκτικό Συνέδριο</w:t>
      </w:r>
      <w:r w:rsidRPr="001B6FB7">
        <w:rPr>
          <w:color w:val="333333"/>
        </w:rPr>
        <w:t> κρίνει ότι η δυνατότητα κατάτμησης ανά δημοτική ενότητα, όπως προβλέπεται στην παρ.14 του άρθρου 6 του Ν.4071/2012 </w:t>
      </w:r>
      <w:r w:rsidRPr="001B6FB7">
        <w:rPr>
          <w:rStyle w:val="a4"/>
          <w:color w:val="333333"/>
        </w:rPr>
        <w:t>παραμένει σε ισχύ και μετά το Ν.4412/2016.</w:t>
      </w:r>
    </w:p>
    <w:p w:rsidR="00BF70C4" w:rsidRPr="001B6FB7" w:rsidRDefault="00BF70C4" w:rsidP="00BF70C4">
      <w:pPr>
        <w:pStyle w:val="Web"/>
        <w:jc w:val="both"/>
        <w:rPr>
          <w:color w:val="333333"/>
        </w:rPr>
      </w:pPr>
      <w:r w:rsidRPr="001B6FB7">
        <w:rPr>
          <w:color w:val="333333"/>
        </w:rPr>
        <w:t>Ειδικότερα, το </w:t>
      </w:r>
      <w:r w:rsidRPr="001B6FB7">
        <w:rPr>
          <w:rStyle w:val="a3"/>
          <w:color w:val="333333"/>
        </w:rPr>
        <w:t>Κλιμ.Τμ.7</w:t>
      </w:r>
      <w:r w:rsidRPr="001B6FB7">
        <w:rPr>
          <w:color w:val="333333"/>
        </w:rPr>
        <w:t> του  Ελεγκτικού Συνεδρίου με τις υπ’ αριθ. </w:t>
      </w:r>
      <w:r w:rsidRPr="001B6FB7">
        <w:rPr>
          <w:rStyle w:val="a3"/>
          <w:color w:val="333333"/>
        </w:rPr>
        <w:t>231/2017, 269/2017, 311/2017, 312/2017 και 313/2017 </w:t>
      </w:r>
      <w:r w:rsidRPr="001B6FB7">
        <w:rPr>
          <w:color w:val="333333"/>
        </w:rPr>
        <w:t>Πράξεις του έκρινε ότι από την </w:t>
      </w:r>
      <w:r w:rsidRPr="001B6FB7">
        <w:rPr>
          <w:rStyle w:val="a4"/>
          <w:color w:val="333333"/>
        </w:rPr>
        <w:t>απαγόρευση επιμερισμού</w:t>
      </w:r>
      <w:r w:rsidRPr="001B6FB7">
        <w:rPr>
          <w:color w:val="333333"/>
        </w:rPr>
        <w:t> της συνολικής δαπάνης όμοιων ή ομοειδών συμβάσεων </w:t>
      </w:r>
      <w:r w:rsidRPr="001B6FB7">
        <w:rPr>
          <w:rStyle w:val="a4"/>
          <w:color w:val="333333"/>
        </w:rPr>
        <w:t>εισάγεται εξαίρεση με το άρθρο 6 παρ. 14 του ν. 4071/2012</w:t>
      </w:r>
      <w:r w:rsidRPr="001B6FB7">
        <w:rPr>
          <w:color w:val="333333"/>
        </w:rPr>
        <w:t>, το οποίο επιτρέπει στους δήμους την αυτοτελή εκτέλεση έργων, προμηθειών και υπηρεσιών όταν αφορούν σε </w:t>
      </w:r>
      <w:r w:rsidRPr="001B6FB7">
        <w:rPr>
          <w:rStyle w:val="a4"/>
          <w:color w:val="333333"/>
        </w:rPr>
        <w:t>διαφορετικές δημοτικές ενότητες</w:t>
      </w:r>
      <w:r w:rsidRPr="001B6FB7">
        <w:rPr>
          <w:color w:val="333333"/>
        </w:rPr>
        <w:t>, υπό την προϋπόθεση ότι οι αντίστοιχες δαπάνες έχουν εγγραφεί σε ξεχωριστές ανά δημοτική ενότητα πιστώσεις στον εγκεκριμένο προϋπολογισμό τους. Η εν λόγω διάταξη δεν έχει καταργηθεί με το άρθρο 377 του ν.4412/2016, καθόσον αφενός είναι ειδική και αφορά αποκλειστικά στους οργανισμούς τοπικής αυτοδιοίκησης και αφετέρου δεν συμπεριλαμβάνεται στις ρητά καταργηθείσες από το νόμο αυτό διατάξεις που αναφέρονται στην παράγραφο 1 του ανωτέρω άρθρου (βλ. την περ. 18 του άρθρου 377 παρ. 1 που καταργεί την παρ. 7 του άρθρου 6 του ν. 4071/2012 αλλά όχι την παράγραφο 14 του ίδιου άρθρου). Περαιτέρω, η ως άνω διάταξη της παραγράφου 14 του άρθρου 6 του ν. 4071/ 2012 δεν μπορεί να θεωρηθεί ότι καταλαμβάνεται από την παράγραφο 4 του ίδιου άρθρου 377 του ν. 4412/2016, δυνάμει της οποίας καταργείται κάθε γενική ή ειδική διάταξη που είναι αντίθετη με τις διατάξεις του νόμου αυτού, διότι εισάγει εξαιρετική ρύθμιση, την ανάθεση δηλαδή από οργανισμούς τοπικής αυτοδιοίκησης όμοιων δαπανών με επιμερισμό αυτών ανά περιφερειακή ή δημοτική ενότητα, με συνέπεια για την κατάργησή της να απαιτείται ρητή διάταξη, τις προϋποθέσεις της οποίας δεν πληροί η ως άνω γενική καταργητική διάταξη του άρθρου 377 παρ. 4 του ν. 4412/2016. Επομένως, είναι νόμιμη η απευθείας ανάθεση όμοιων ή ομοειδών συμβάσεων όταν καθεμία από αυτές αφορά στην κάλυψη των αναγκών κάθε δημοτικής ενότητας ξεχωριστά και η συνολική ετήσια δαπάνη για κάθε δημοτική ενότητα δεν υπερβαίνει το ποσό των 20.000 ευρώ χωρίς Φ.Π.Α. Περαιτέρω, το άρθρο 6 παρ. 2 του ν. 4412/2016 δεν εφαρμόζεται εν προκειμένω, καθόσον ρυθμίζει τον τρόπο υπολογισμού της εκτιμώμενης αξίας μιας σύμβασης όταν η αναθέτουσα αρχή αποτελείται από επιχειρησιακές μονάδες, στην έννοια των οποίων δεν περιλαμβάνονται οι δημοτικές ενότητες.</w:t>
      </w:r>
    </w:p>
    <w:p w:rsidR="00BF70C4" w:rsidRPr="001B6FB7" w:rsidRDefault="00BF70C4" w:rsidP="00BF70C4">
      <w:pPr>
        <w:pStyle w:val="Web"/>
        <w:jc w:val="both"/>
        <w:rPr>
          <w:color w:val="333333"/>
        </w:rPr>
      </w:pPr>
      <w:r w:rsidRPr="001B6FB7">
        <w:rPr>
          <w:rStyle w:val="a4"/>
          <w:color w:val="333333"/>
          <w:u w:val="single"/>
        </w:rPr>
        <w:t>Θέση της Μονάδας παρακολούθησης διαγωνισμών</w:t>
      </w:r>
    </w:p>
    <w:p w:rsidR="00BF70C4" w:rsidRPr="001B6FB7" w:rsidRDefault="00BF70C4" w:rsidP="00BF70C4">
      <w:pPr>
        <w:pStyle w:val="Web"/>
        <w:jc w:val="both"/>
        <w:rPr>
          <w:color w:val="333333"/>
        </w:rPr>
      </w:pPr>
      <w:r w:rsidRPr="001B6FB7">
        <w:rPr>
          <w:color w:val="333333"/>
        </w:rPr>
        <w:t>Η Μονάδα παρακολούθησης διαγωνισμών και συμβάσεων του ΚΔΕΟΔ  στο ίδιο ερώτημα απάντησε με το από 02.05.2017 έγγραφό της ότι: </w:t>
      </w:r>
      <w:r w:rsidRPr="001B6FB7">
        <w:rPr>
          <w:rStyle w:val="a3"/>
          <w:color w:val="333333"/>
        </w:rPr>
        <w:t>«Εφόσον δεν υπάρχει μεταγενέστερη διάταξη νόμου που να καταργεί την παράγραφο 14 του άρθρου 6 του Ν.4071/2012, είτε ρητώς, είτε σιωπηρώς με τη διαφορετική ρύθμιση του ίδιου θέματος, η εν λόγω παράγραφος εξακολουθεί να ισχύει.»,</w:t>
      </w:r>
      <w:r w:rsidRPr="001B6FB7">
        <w:rPr>
          <w:color w:val="333333"/>
        </w:rPr>
        <w:t> ενώ σύμφωνα με αναλυτική γνωμοδότησή της επί του θέματος: </w:t>
      </w:r>
      <w:r w:rsidRPr="001B6FB7">
        <w:rPr>
          <w:rStyle w:val="a3"/>
          <w:color w:val="333333"/>
        </w:rPr>
        <w:t xml:space="preserve">"παρά το γεγονός ότι ο έλληνας νομοθέτης δεν θέλησε να λάβει ρητή θέση επί του </w:t>
      </w:r>
      <w:r w:rsidRPr="001B6FB7">
        <w:rPr>
          <w:rStyle w:val="a3"/>
          <w:color w:val="333333"/>
        </w:rPr>
        <w:lastRenderedPageBreak/>
        <w:t>θέματος (βλ ήδη άρθρο 11 Ν.4468/2017), διαφαίνεται ότι οι δημοτικές ενότητες -με τη σημερινή διοικητική οργάνωση και λειτουργία τους- δεν πληρούν τα κριτήρια της σκέψης  20 του προοιμίου της οδηγίας 2014/24 και κατά συνέπεια δεν μπορούν να χαρακτηριστούν ως «χωριστές επιχειρησιακές μονάδες».</w:t>
      </w:r>
      <w:r w:rsidRPr="001B6FB7">
        <w:rPr>
          <w:color w:val="333333"/>
        </w:rPr>
        <w:t> Αντίθετη πρακτική των δήμων που εξακολούθησε να εφαρμόζεται και μετά την ισχύ του Ν.4412/2016 θα μπορούσε, ωστόσο, να κριθεί σύννομη, ως συγγνωστή νομική πλάνη, τη στιγμή μάλιστα που η επίμαχη διάταξη του άρθρου 6 παράγραφος 14 του Ν.4071/2012 δεν καταργήθηκε ρητά με το Ν.4412/2016."</w:t>
      </w:r>
    </w:p>
    <w:p w:rsidR="00BF70C4" w:rsidRPr="001B6FB7" w:rsidRDefault="00BF70C4" w:rsidP="00BF70C4">
      <w:pPr>
        <w:pStyle w:val="Web"/>
        <w:jc w:val="both"/>
        <w:rPr>
          <w:color w:val="333333"/>
        </w:rPr>
      </w:pPr>
      <w:r w:rsidRPr="001B6FB7">
        <w:rPr>
          <w:rStyle w:val="a4"/>
          <w:color w:val="333333"/>
          <w:u w:val="single"/>
        </w:rPr>
        <w:t>Περιπτωσιολογία κατάτμησης ανά τοπική κοινότητα και διαφορετικές δημοτικές ενότητες</w:t>
      </w:r>
    </w:p>
    <w:p w:rsidR="00BF70C4" w:rsidRPr="001B6FB7" w:rsidRDefault="00BF70C4" w:rsidP="00BF70C4">
      <w:pPr>
        <w:pStyle w:val="Web"/>
        <w:jc w:val="both"/>
        <w:rPr>
          <w:color w:val="333333"/>
        </w:rPr>
      </w:pPr>
      <w:r w:rsidRPr="001B6FB7">
        <w:rPr>
          <w:color w:val="333333"/>
        </w:rPr>
        <w:t xml:space="preserve">Από Αποφάσεις Πράξεις του </w:t>
      </w:r>
      <w:proofErr w:type="spellStart"/>
      <w:r w:rsidRPr="001B6FB7">
        <w:rPr>
          <w:color w:val="333333"/>
        </w:rPr>
        <w:t>ΕλΣυν</w:t>
      </w:r>
      <w:proofErr w:type="spellEnd"/>
      <w:r w:rsidRPr="001B6FB7">
        <w:rPr>
          <w:color w:val="333333"/>
        </w:rPr>
        <w:t xml:space="preserve"> έχει κριθεί η νομιμότητα η μη σχετικών δαπανών.</w:t>
      </w:r>
    </w:p>
    <w:p w:rsidR="00BF70C4" w:rsidRPr="001B6FB7" w:rsidRDefault="00BF70C4" w:rsidP="00BF70C4">
      <w:pPr>
        <w:pStyle w:val="Web"/>
        <w:jc w:val="both"/>
        <w:rPr>
          <w:color w:val="333333"/>
        </w:rPr>
      </w:pPr>
      <w:r w:rsidRPr="001B6FB7">
        <w:rPr>
          <w:rStyle w:val="a4"/>
          <w:color w:val="333333"/>
        </w:rPr>
        <w:t>Παραδείγματα – Κρίσεις περί νομιμότητας της σχετικής δαπάνης</w:t>
      </w:r>
    </w:p>
    <w:p w:rsidR="00BF70C4" w:rsidRPr="001B6FB7" w:rsidRDefault="00BF70C4" w:rsidP="00BF70C4">
      <w:pPr>
        <w:pStyle w:val="Web"/>
        <w:jc w:val="both"/>
        <w:rPr>
          <w:i/>
          <w:color w:val="333333"/>
        </w:rPr>
      </w:pPr>
      <w:r w:rsidRPr="001B6FB7">
        <w:rPr>
          <w:color w:val="333333"/>
        </w:rPr>
        <w:t xml:space="preserve">Νόμιμη δαπάνη διότι οι εδώ απευθείας αναθέσεις αφενός μεν είναι κάτω του ορίου των 20.000,00 ευρώ και αφετέρου αφορούν σε διαφορετικές δημοτικές ενότητες. Περαιτέρω, δεν υφίσταται περίπτωση μη νόμιμης κατάτμησης των ως άνω προμηθειών λόγω μη συμπερίληψης των </w:t>
      </w:r>
      <w:proofErr w:type="spellStart"/>
      <w:r w:rsidRPr="001B6FB7">
        <w:rPr>
          <w:color w:val="333333"/>
        </w:rPr>
        <w:t>προμηθευθέντων</w:t>
      </w:r>
      <w:proofErr w:type="spellEnd"/>
      <w:r w:rsidRPr="001B6FB7">
        <w:rPr>
          <w:color w:val="333333"/>
        </w:rPr>
        <w:t xml:space="preserve"> ειδών σε </w:t>
      </w:r>
      <w:proofErr w:type="spellStart"/>
      <w:r w:rsidRPr="001B6FB7">
        <w:rPr>
          <w:color w:val="333333"/>
        </w:rPr>
        <w:t>προηγηθέντες</w:t>
      </w:r>
      <w:proofErr w:type="spellEnd"/>
      <w:r w:rsidRPr="001B6FB7">
        <w:rPr>
          <w:color w:val="333333"/>
        </w:rPr>
        <w:t xml:space="preserve"> και </w:t>
      </w:r>
      <w:proofErr w:type="spellStart"/>
      <w:r w:rsidRPr="001B6FB7">
        <w:rPr>
          <w:color w:val="333333"/>
        </w:rPr>
        <w:t>κατακυρωθέντες</w:t>
      </w:r>
      <w:proofErr w:type="spellEnd"/>
      <w:r w:rsidRPr="001B6FB7">
        <w:rPr>
          <w:color w:val="333333"/>
        </w:rPr>
        <w:t xml:space="preserve"> εντός του ίδιου οικονομικού έτους (2018) διαγωνισμούς για την ανάθεση έργων επισκευής του δικτύου ύδρευσης Δ.Ε., διότι α) οι εν λόγω διαγωνισμοί αφορούσαν στην αποκατάσταση εκτάκτων βλαβών του δικτύου από τους αναδόχους εργολήπτες και όχι προμήθεια αγαθών προς ενσωμάτωση στις επισκευές και την τακτική συντήρηση αυτού από τις υπηρεσίες του Δήμου, β) στον προϋπολογισμό των ανωτέρω έργων συμπεριλαμβάνονταν μεν υλικά που επρόκειτο να χρησιμοποιηθούν και ενσωματωθούν στα έργα αποκατάστασης βλαβών, τα οποία, ωστόσο, δεν μπορούσαν να καταγραφούν αναλυτικά κατ’ είδος εκ των προτέρων, αφού σκοπός των αναθέσεων στους εργολήπτες ήταν η άμεση αποκατάσταση των βλαβών εντός ώρας, ανεξαρτήτως των υλικών που απαιτούντο και γ) δεν αποδεικνύεται ότι η δαπάνη για την προμήθεια των αγαθών που πρόκειται να ενσωματωθεί στα ως άνω έργα, </w:t>
      </w:r>
      <w:proofErr w:type="spellStart"/>
      <w:r w:rsidRPr="001B6FB7">
        <w:rPr>
          <w:color w:val="333333"/>
        </w:rPr>
        <w:t>συναθροιζόμενη</w:t>
      </w:r>
      <w:proofErr w:type="spellEnd"/>
      <w:r w:rsidRPr="001B6FB7">
        <w:rPr>
          <w:color w:val="333333"/>
        </w:rPr>
        <w:t xml:space="preserve"> με τις μεταγενέστερα διενεργηθείσες προμήθειες εκ 11.328,86 και 18.871,44 ευρώ, αντίστοιχα, υπερβαίνει το όριο των 20.000,00 ευρώ, αφού τα εν λόγω υλικά δεν καταγράφονται χωριστά κατ’ είδος στις αντίστοιχες μελέτες.  </w:t>
      </w:r>
      <w:r w:rsidR="001B6FB7" w:rsidRPr="001B6FB7">
        <w:rPr>
          <w:i/>
          <w:color w:val="333333"/>
        </w:rPr>
        <w:t xml:space="preserve">(Ελ. Συν. </w:t>
      </w:r>
      <w:proofErr w:type="spellStart"/>
      <w:r w:rsidR="001B6FB7" w:rsidRPr="001B6FB7">
        <w:rPr>
          <w:i/>
          <w:color w:val="333333"/>
        </w:rPr>
        <w:t>Κλιμ</w:t>
      </w:r>
      <w:proofErr w:type="spellEnd"/>
      <w:r w:rsidR="001B6FB7" w:rsidRPr="001B6FB7">
        <w:rPr>
          <w:i/>
          <w:color w:val="333333"/>
        </w:rPr>
        <w:t xml:space="preserve">. </w:t>
      </w:r>
      <w:proofErr w:type="spellStart"/>
      <w:r w:rsidR="001B6FB7" w:rsidRPr="001B6FB7">
        <w:rPr>
          <w:i/>
          <w:color w:val="333333"/>
        </w:rPr>
        <w:t>Τμ</w:t>
      </w:r>
      <w:proofErr w:type="spellEnd"/>
      <w:r w:rsidR="001B6FB7" w:rsidRPr="001B6FB7">
        <w:rPr>
          <w:i/>
          <w:color w:val="333333"/>
        </w:rPr>
        <w:t>. 7 Πράξη 192/2019</w:t>
      </w:r>
      <w:r w:rsidRPr="001B6FB7">
        <w:rPr>
          <w:i/>
          <w:color w:val="333333"/>
        </w:rPr>
        <w:t>)</w:t>
      </w:r>
    </w:p>
    <w:p w:rsidR="001B6FB7" w:rsidRPr="001B6FB7" w:rsidRDefault="00BF70C4" w:rsidP="00BF70C4">
      <w:pPr>
        <w:pStyle w:val="Web"/>
        <w:jc w:val="both"/>
        <w:rPr>
          <w:color w:val="333333"/>
        </w:rPr>
      </w:pPr>
      <w:r w:rsidRPr="001B6FB7">
        <w:rPr>
          <w:color w:val="333333"/>
        </w:rPr>
        <w:t xml:space="preserve">Επιτρέπεται η κάλυψη των άμεσων αναγκών των αναθετουσών αρχών που συνέχονται με την αντιμετώπιση του </w:t>
      </w:r>
      <w:proofErr w:type="spellStart"/>
      <w:r w:rsidRPr="001B6FB7">
        <w:rPr>
          <w:color w:val="333333"/>
        </w:rPr>
        <w:t>κορωνοϊού</w:t>
      </w:r>
      <w:proofErr w:type="spellEnd"/>
      <w:r w:rsidRPr="001B6FB7">
        <w:rPr>
          <w:color w:val="333333"/>
        </w:rPr>
        <w:t> </w:t>
      </w:r>
      <w:r w:rsidRPr="001B6FB7">
        <w:rPr>
          <w:rStyle w:val="a4"/>
          <w:color w:val="333333"/>
        </w:rPr>
        <w:t>σταδιακά </w:t>
      </w:r>
      <w:r w:rsidRPr="001B6FB7">
        <w:rPr>
          <w:color w:val="333333"/>
        </w:rPr>
        <w:t>και με την επιλογή του είδους της διαδικασίας που εξυπηρετεί την άμεση κάλυψη των σχετικών αναγκών, </w:t>
      </w:r>
      <w:r w:rsidRPr="001B6FB7">
        <w:rPr>
          <w:rStyle w:val="a4"/>
          <w:color w:val="333333"/>
        </w:rPr>
        <w:t>χωρίς να απαιτείται συγκέντρωση και ομαδοποίηση </w:t>
      </w:r>
      <w:r w:rsidRPr="001B6FB7">
        <w:rPr>
          <w:color w:val="333333"/>
        </w:rPr>
        <w:t xml:space="preserve">τους και χωρίς να τίθεται ζήτημα μη επιτρεπτής, ήτοι «τεχνητής» κατάτμησης, με σκοπό την αποφυγή εφαρμογής επιμέρους διατάξεων του ν. 4412/2016. Η ως άνω δυνατότητα κρίνεται σε κάθε μεμονωμένη σύμβαση και θα πρέπει να αιτιολογείται επαρκώς από την αναθέτουσα αρχή, σύμφωνα με τα προαναφερθέντα, και να μην οδηγεί σε καταχρηστική εφαρμογή των σχετικών διατάξεων. Ιδιαίτερα εφιστάται, ωστόσο, η προσοχή των αναθετουσών αρχών στον ορθό υπολογισμό της εκτιμώμενης αξίας των συμβάσεων, με βάση τις διατάξεις του άρθρου 6 του ν. 4412/2016 κατά την ανάθεση συμβάσεων, στο πλαίσιο του συνήθους προγραμματισμού τους, όμοιων ή ομοειδών με εκείνες που ανατίθενται για την κάλυψη των άμεσων αναγκών τους για την αντιμετώπιση του COVID-19. Εξυπακούεται ότι, για τον υπολογισμό της αξίας των συνήθων/ προγραμματισμένων συμβάσεων, οι οποίες θα εκκινήσουν μετά την ανάθεση για την κάλυψη των έκτακτων αναγκών τους στο πλαίσιο του COVID19, θα πρέπει να αθροίζεται και η αξία των τυχόν όμοιων ή ομοειδών συμβάσεων, που ανατέθηκαν για την κάλυψη των ανωτέρω άμεσων </w:t>
      </w:r>
      <w:r w:rsidRPr="001B6FB7">
        <w:rPr>
          <w:color w:val="333333"/>
        </w:rPr>
        <w:lastRenderedPageBreak/>
        <w:t>αναγκών, ιδίως εάν ανατίθενται στο ίδιο οικονομικό έτος</w:t>
      </w:r>
      <w:r w:rsidR="001B6FB7" w:rsidRPr="001B6FB7">
        <w:rPr>
          <w:color w:val="333333"/>
        </w:rPr>
        <w:t>. (Κατευθυντήρια Οδηγία 24/2133/15.04.2020 Ε.Α.Α.ΔΗ.ΣΥ.)</w:t>
      </w:r>
    </w:p>
    <w:p w:rsidR="00BF70C4" w:rsidRPr="001B6FB7" w:rsidRDefault="00BF70C4" w:rsidP="00BF70C4">
      <w:pPr>
        <w:pStyle w:val="Web"/>
        <w:jc w:val="both"/>
        <w:rPr>
          <w:color w:val="333333"/>
        </w:rPr>
      </w:pPr>
      <w:r w:rsidRPr="001B6FB7">
        <w:rPr>
          <w:color w:val="333333"/>
        </w:rPr>
        <w:t>Απευθείας ανάθεση των έργων «Επισκευή - αντικατάσταση φωτιστικών σωμάτων..» σε διαφορετικά δημοτικά διαμερίσματα Δήμου. Δαπάνες νόμιμες, διότι αφορούν κατά κύριο λόγο στην προμήθεια υλικών, που έχουν πάγιο χαρακτήρα και δεν εξαιρούνται από τον ΕΚΠΟΤΑ, με συνέπεια να τυγχάνουν εφαρμογής οι διατάξεις αυτού και όχι η διάταξη του άρθρου 22 του ν. 3274/2004 για την κατάτμηση δαπάνης έργου ανά δημοτικό διαμέρισμα (εφόσον δεν πρόκειται για έργο</w:t>
      </w:r>
      <w:r w:rsidRPr="001B6FB7">
        <w:rPr>
          <w:rStyle w:val="a3"/>
          <w:color w:val="333333"/>
        </w:rPr>
        <w:t>). (Ελ. Συν. Τμ. 7 Πράξη 96/2007)</w:t>
      </w:r>
    </w:p>
    <w:p w:rsidR="00BF70C4" w:rsidRPr="001B6FB7" w:rsidRDefault="00BF70C4" w:rsidP="00BF70C4">
      <w:pPr>
        <w:pStyle w:val="Web"/>
        <w:jc w:val="both"/>
        <w:rPr>
          <w:color w:val="333333"/>
        </w:rPr>
      </w:pPr>
      <w:r w:rsidRPr="001B6FB7">
        <w:rPr>
          <w:rStyle w:val="a4"/>
          <w:color w:val="333333"/>
        </w:rPr>
        <w:t>Κρίσεις περί μη νομιμότητας της σχετικής δαπάνης</w:t>
      </w:r>
    </w:p>
    <w:p w:rsidR="00BF70C4" w:rsidRPr="001B6FB7" w:rsidRDefault="00BF70C4" w:rsidP="00BF70C4">
      <w:pPr>
        <w:pStyle w:val="Web"/>
        <w:jc w:val="both"/>
        <w:rPr>
          <w:color w:val="333333"/>
        </w:rPr>
      </w:pPr>
      <w:r w:rsidRPr="001B6FB7">
        <w:rPr>
          <w:color w:val="333333"/>
        </w:rPr>
        <w:t xml:space="preserve">Εξόφληση της «οριστικής υδραυλικής μελέτης εσωτερικού δικτύου ύδρευσης οικισμού». Μη νόμιμη δαπάνη διότι, δεδομένου ότι επιτρέπεται μεν στη Δ.Ε.Υ.Α. να αναθέσει απευθείας, μέσα στο όριο των 20.000,00 ευρώ, την αυτοτελή σύνταξη μελέτης εσωτερικού δικτύου ύδρευσης ανά τοπική κοινότητα, πρέπει όμως στον προϋπολογισμό της να αναγράφεται η </w:t>
      </w:r>
      <w:proofErr w:type="spellStart"/>
      <w:r w:rsidRPr="001B6FB7">
        <w:rPr>
          <w:color w:val="333333"/>
        </w:rPr>
        <w:t>κατατμημένη</w:t>
      </w:r>
      <w:proofErr w:type="spellEnd"/>
      <w:r w:rsidRPr="001B6FB7">
        <w:rPr>
          <w:color w:val="333333"/>
        </w:rPr>
        <w:t xml:space="preserve"> πίστωση που αφορά στην εν λόγω μελέτη, ήτοι να αναγράφεται η πίστωση για κάθε μελέτη ανά τοπική κοινότητα, στοιχείο που εν προκειμένω δεν συντρέχει. Σημειώνεται, επίσης, ότι επιτρέπεται η κατάτμηση των έργων και των αντίστοιχων μελετών τους ανά τοπική κοινότητα και όχι ανά οικισμό εκάστης τοπικής κοινότητας. Συγγνωστή πλάνη. (Ελ. Συν. </w:t>
      </w:r>
      <w:proofErr w:type="spellStart"/>
      <w:r w:rsidRPr="001B6FB7">
        <w:rPr>
          <w:color w:val="333333"/>
        </w:rPr>
        <w:t>Κλιμ</w:t>
      </w:r>
      <w:proofErr w:type="spellEnd"/>
      <w:r w:rsidRPr="001B6FB7">
        <w:rPr>
          <w:color w:val="333333"/>
        </w:rPr>
        <w:t>. Τμ. 7 Πράξη 103/2018)</w:t>
      </w:r>
    </w:p>
    <w:p w:rsidR="00BF70C4" w:rsidRPr="001B6FB7" w:rsidRDefault="00BF70C4" w:rsidP="00BF70C4">
      <w:pPr>
        <w:pStyle w:val="Web"/>
        <w:jc w:val="both"/>
        <w:rPr>
          <w:color w:val="333333"/>
        </w:rPr>
      </w:pPr>
      <w:r w:rsidRPr="001B6FB7">
        <w:rPr>
          <w:color w:val="333333"/>
        </w:rPr>
        <w:t xml:space="preserve">Προμήθεια υλικών </w:t>
      </w:r>
      <w:proofErr w:type="spellStart"/>
      <w:r w:rsidRPr="001B6FB7">
        <w:rPr>
          <w:color w:val="333333"/>
        </w:rPr>
        <w:t>οδοποιϊας</w:t>
      </w:r>
      <w:proofErr w:type="spellEnd"/>
      <w:r w:rsidRPr="001B6FB7">
        <w:rPr>
          <w:color w:val="333333"/>
        </w:rPr>
        <w:t xml:space="preserve"> Δημοτικής Ενότητας Α. Ο λόγος διαφωνίας ότι τα υλικά της προμήθειας παραδόθηκαν σε διαφορετικές δημοτικές ενότητες και όχι στη Δημοτική Ενότητα Α, στον κωδικό αριθμό της οποίας είχε γραφεί η σχετική πίστωση για τη διενέργεια της προμήθειας, με αποτέλεσμα να έχει παραβιασθεί η αρχή της ειδικότητας των πιστώσεων, είναι απορριπτέος ως ουσία αβάσιμος, διότι τόσο στην τεχνική έκθεση της προμήθειας, όσο και στη σύμβαση προβλέπεται ότι η παράδοση των υπό προμήθεια υλικών θα γίνεται εντός των ορίων του Δήμου, ενώ σύμφωνα και με το πρωτόκολλο παραλαβής υλικών, παραλήφθηκε το </w:t>
      </w:r>
      <w:proofErr w:type="spellStart"/>
      <w:r w:rsidRPr="001B6FB7">
        <w:rPr>
          <w:color w:val="333333"/>
        </w:rPr>
        <w:t>ασφαλτομίγμα</w:t>
      </w:r>
      <w:proofErr w:type="spellEnd"/>
      <w:r w:rsidRPr="001B6FB7">
        <w:rPr>
          <w:color w:val="333333"/>
        </w:rPr>
        <w:t>  που αφορούσαν τα ανωτέρω τιμολόγια σε εκτέλεση της επίμαχης σύμβασης προμήθειας για τις ανάγκες της Δημοτικής Ενότητας Α.  (Ελ.Συν.Κλιμ.Τμ.7 Πράξη 93/2015)</w:t>
      </w:r>
    </w:p>
    <w:p w:rsidR="00BF70C4" w:rsidRPr="001B6FB7" w:rsidRDefault="00BF70C4" w:rsidP="00BF70C4">
      <w:pPr>
        <w:pStyle w:val="Web"/>
        <w:jc w:val="both"/>
        <w:rPr>
          <w:color w:val="333333"/>
        </w:rPr>
      </w:pPr>
      <w:r w:rsidRPr="001B6FB7">
        <w:rPr>
          <w:color w:val="333333"/>
        </w:rPr>
        <w:t>Κωλύεται η υπογραφή του σχεδίου  σύμβασης μεταξύ Περιφέρειας και κοινοπραξίας, για την εκτέλεση του έργου «Επισκευές σε σχολεία – Γυμνάσιο–ο Νηπιαγωγείο  λόγω του σεισμού» Εφόσον το αντικείμενο της ελεγχόμενης σύμβασης συνίσταται στην επισκευή τριών αυτοτελών  και απομακρυσμένων μεταξύ τους κτιριακών συγκροτημάτων, έκαστο των οποίων απαιτεί ξεχωριστές εργασίες επισκευής, οι οποίες δύνανται ευχερώς να εκτελεστούν από χωριστά συνεργεία, χωρίς εμπλοκή ή εξάρτιση μεταξύ τους, η επιλογή της αναθέτουσας αρχής, και μάλιστα χωρίς καμία αιτιολογία, να μην υποδιαιρέσει τη σύμβαση σε περισσότερα τμήματα αλλά να δημοπρατήσει ως ενιαίο τμήμα τα τρία αυτά διακριτά έργα, αντίκειται τόσο στο γράμμα όσο και στο σκοπό του άρθρου 59 ν. 4412/2016. </w:t>
      </w:r>
      <w:r w:rsidRPr="001B6FB7">
        <w:rPr>
          <w:rStyle w:val="a3"/>
          <w:color w:val="333333"/>
        </w:rPr>
        <w:t>(Ελ. Συν. Κλιμάκιο Ε' Πράξη 651/2019)</w:t>
      </w:r>
    </w:p>
    <w:p w:rsidR="00BF70C4" w:rsidRPr="001B6FB7" w:rsidRDefault="00BF70C4" w:rsidP="00BF70C4">
      <w:pPr>
        <w:pStyle w:val="Web"/>
        <w:jc w:val="both"/>
        <w:rPr>
          <w:color w:val="333333"/>
        </w:rPr>
      </w:pPr>
      <w:r w:rsidRPr="001B6FB7">
        <w:rPr>
          <w:color w:val="333333"/>
        </w:rPr>
        <w:t>Δαπάνη για εργασίες διαχωρισμού αιθουσών δημοτικών σχολείων. Έννοια δημοσίου, δημοτικού ή κοινοτικού έργου και έννοια προμήθειας. Έννοια ενιαίου έργου. Μη νόμιμη η κατάτμηση αυτού. Μη νόμιμη. (Συγγνωστή πλάνη</w:t>
      </w:r>
      <w:r w:rsidRPr="001B6FB7">
        <w:rPr>
          <w:rStyle w:val="a3"/>
          <w:color w:val="333333"/>
        </w:rPr>
        <w:t>). (</w:t>
      </w:r>
      <w:proofErr w:type="spellStart"/>
      <w:r w:rsidRPr="001B6FB7">
        <w:rPr>
          <w:rStyle w:val="a3"/>
          <w:color w:val="333333"/>
        </w:rPr>
        <w:t>Ελ.Συν</w:t>
      </w:r>
      <w:proofErr w:type="spellEnd"/>
      <w:r w:rsidRPr="001B6FB7">
        <w:rPr>
          <w:rStyle w:val="a3"/>
          <w:color w:val="333333"/>
        </w:rPr>
        <w:t xml:space="preserve">. </w:t>
      </w:r>
      <w:proofErr w:type="spellStart"/>
      <w:r w:rsidRPr="001B6FB7">
        <w:rPr>
          <w:rStyle w:val="a3"/>
          <w:color w:val="333333"/>
        </w:rPr>
        <w:t>Κλιμ.Β</w:t>
      </w:r>
      <w:proofErr w:type="spellEnd"/>
      <w:r w:rsidRPr="001B6FB7">
        <w:rPr>
          <w:rStyle w:val="a3"/>
          <w:color w:val="333333"/>
        </w:rPr>
        <w:t>' Πράξη 679/2004)</w:t>
      </w:r>
    </w:p>
    <w:p w:rsidR="00BF70C4" w:rsidRPr="001B6FB7" w:rsidRDefault="00BF70C4" w:rsidP="00BF70C4">
      <w:pPr>
        <w:pBdr>
          <w:top w:val="single" w:sz="6" w:space="1" w:color="auto"/>
        </w:pBdr>
        <w:spacing w:after="0" w:line="240" w:lineRule="auto"/>
        <w:jc w:val="both"/>
        <w:rPr>
          <w:rFonts w:ascii="Times New Roman" w:eastAsia="Times New Roman" w:hAnsi="Times New Roman" w:cs="Times New Roman"/>
          <w:noProof w:val="0"/>
          <w:vanish/>
          <w:sz w:val="24"/>
          <w:szCs w:val="24"/>
          <w:lang w:eastAsia="el-GR"/>
        </w:rPr>
      </w:pPr>
      <w:r w:rsidRPr="001B6FB7">
        <w:rPr>
          <w:rFonts w:ascii="Times New Roman" w:eastAsia="Times New Roman" w:hAnsi="Times New Roman" w:cs="Times New Roman"/>
          <w:noProof w:val="0"/>
          <w:vanish/>
          <w:sz w:val="24"/>
          <w:szCs w:val="24"/>
          <w:lang w:eastAsia="el-GR"/>
        </w:rPr>
        <w:t>Τέλος φόρμας</w:t>
      </w:r>
    </w:p>
    <w:p w:rsidR="00B16894" w:rsidRPr="001B6FB7" w:rsidRDefault="00B16894" w:rsidP="00BF70C4">
      <w:pPr>
        <w:jc w:val="both"/>
        <w:rPr>
          <w:rFonts w:ascii="Times New Roman" w:hAnsi="Times New Roman" w:cs="Times New Roman"/>
          <w:sz w:val="24"/>
          <w:szCs w:val="24"/>
        </w:rPr>
      </w:pPr>
    </w:p>
    <w:sectPr w:rsidR="00B16894" w:rsidRPr="001B6FB7" w:rsidSect="00B168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BF70C4"/>
    <w:rsid w:val="001B6FB7"/>
    <w:rsid w:val="00441DD8"/>
    <w:rsid w:val="005524A5"/>
    <w:rsid w:val="00AC2B1B"/>
    <w:rsid w:val="00B16894"/>
    <w:rsid w:val="00BF70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D8D80"/>
  <w15:docId w15:val="{56B79C99-43AD-4D0D-B88F-33A60096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894"/>
    <w:rPr>
      <w:noProof/>
    </w:rPr>
  </w:style>
  <w:style w:type="paragraph" w:styleId="3">
    <w:name w:val="heading 3"/>
    <w:basedOn w:val="a"/>
    <w:link w:val="3Char"/>
    <w:uiPriority w:val="9"/>
    <w:qFormat/>
    <w:rsid w:val="00BF70C4"/>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3Char">
    <w:name w:val="Επικεφαλίδα 3 Char"/>
    <w:basedOn w:val="a0"/>
    <w:link w:val="3"/>
    <w:uiPriority w:val="9"/>
    <w:rsid w:val="00BF70C4"/>
    <w:rPr>
      <w:rFonts w:ascii="Times New Roman" w:eastAsia="Times New Roman" w:hAnsi="Times New Roman" w:cs="Times New Roman"/>
      <w:b/>
      <w:bCs/>
      <w:sz w:val="27"/>
      <w:szCs w:val="27"/>
      <w:lang w:eastAsia="el-GR"/>
    </w:rPr>
  </w:style>
  <w:style w:type="paragraph" w:styleId="z-">
    <w:name w:val="HTML Top of Form"/>
    <w:basedOn w:val="a"/>
    <w:next w:val="a"/>
    <w:link w:val="z-Char"/>
    <w:hidden/>
    <w:uiPriority w:val="99"/>
    <w:semiHidden/>
    <w:unhideWhenUsed/>
    <w:rsid w:val="00BF70C4"/>
    <w:pPr>
      <w:pBdr>
        <w:bottom w:val="single" w:sz="6" w:space="1" w:color="auto"/>
      </w:pBdr>
      <w:spacing w:after="0" w:line="240" w:lineRule="auto"/>
      <w:jc w:val="center"/>
    </w:pPr>
    <w:rPr>
      <w:rFonts w:ascii="Arial" w:eastAsia="Times New Roman" w:hAnsi="Arial" w:cs="Arial"/>
      <w:noProof w:val="0"/>
      <w:vanish/>
      <w:sz w:val="16"/>
      <w:szCs w:val="16"/>
      <w:lang w:eastAsia="el-GR"/>
    </w:rPr>
  </w:style>
  <w:style w:type="character" w:customStyle="1" w:styleId="z-Char">
    <w:name w:val="z-Αρχή φόρμας Char"/>
    <w:basedOn w:val="a0"/>
    <w:link w:val="z-"/>
    <w:uiPriority w:val="99"/>
    <w:semiHidden/>
    <w:rsid w:val="00BF70C4"/>
    <w:rPr>
      <w:rFonts w:ascii="Arial" w:eastAsia="Times New Roman" w:hAnsi="Arial" w:cs="Arial"/>
      <w:vanish/>
      <w:sz w:val="16"/>
      <w:szCs w:val="16"/>
      <w:lang w:eastAsia="el-GR"/>
    </w:rPr>
  </w:style>
  <w:style w:type="character" w:styleId="-">
    <w:name w:val="Hyperlink"/>
    <w:basedOn w:val="a0"/>
    <w:uiPriority w:val="99"/>
    <w:unhideWhenUsed/>
    <w:rsid w:val="00BF70C4"/>
    <w:rPr>
      <w:color w:val="0000FF"/>
      <w:u w:val="single"/>
    </w:rPr>
  </w:style>
  <w:style w:type="paragraph" w:styleId="z-0">
    <w:name w:val="HTML Bottom of Form"/>
    <w:basedOn w:val="a"/>
    <w:next w:val="a"/>
    <w:link w:val="z-Char0"/>
    <w:hidden/>
    <w:uiPriority w:val="99"/>
    <w:semiHidden/>
    <w:unhideWhenUsed/>
    <w:rsid w:val="00BF70C4"/>
    <w:pPr>
      <w:pBdr>
        <w:top w:val="single" w:sz="6" w:space="1" w:color="auto"/>
      </w:pBdr>
      <w:spacing w:after="0" w:line="240" w:lineRule="auto"/>
      <w:jc w:val="center"/>
    </w:pPr>
    <w:rPr>
      <w:rFonts w:ascii="Arial" w:eastAsia="Times New Roman" w:hAnsi="Arial" w:cs="Arial"/>
      <w:noProof w:val="0"/>
      <w:vanish/>
      <w:sz w:val="16"/>
      <w:szCs w:val="16"/>
      <w:lang w:eastAsia="el-GR"/>
    </w:rPr>
  </w:style>
  <w:style w:type="character" w:customStyle="1" w:styleId="z-Char0">
    <w:name w:val="z-Τέλος φόρμας Char"/>
    <w:basedOn w:val="a0"/>
    <w:link w:val="z-0"/>
    <w:uiPriority w:val="99"/>
    <w:semiHidden/>
    <w:rsid w:val="00BF70C4"/>
    <w:rPr>
      <w:rFonts w:ascii="Arial" w:eastAsia="Times New Roman" w:hAnsi="Arial" w:cs="Arial"/>
      <w:vanish/>
      <w:sz w:val="16"/>
      <w:szCs w:val="16"/>
      <w:lang w:eastAsia="el-GR"/>
    </w:rPr>
  </w:style>
  <w:style w:type="paragraph" w:styleId="Web">
    <w:name w:val="Normal (Web)"/>
    <w:basedOn w:val="a"/>
    <w:uiPriority w:val="99"/>
    <w:semiHidden/>
    <w:unhideWhenUsed/>
    <w:rsid w:val="00BF70C4"/>
    <w:pPr>
      <w:spacing w:before="100" w:beforeAutospacing="1" w:after="100" w:afterAutospacing="1" w:line="240" w:lineRule="auto"/>
    </w:pPr>
    <w:rPr>
      <w:rFonts w:ascii="Times New Roman" w:eastAsia="Times New Roman" w:hAnsi="Times New Roman" w:cs="Times New Roman"/>
      <w:noProof w:val="0"/>
      <w:sz w:val="24"/>
      <w:szCs w:val="24"/>
      <w:lang w:eastAsia="el-GR"/>
    </w:rPr>
  </w:style>
  <w:style w:type="character" w:styleId="a3">
    <w:name w:val="Emphasis"/>
    <w:basedOn w:val="a0"/>
    <w:uiPriority w:val="20"/>
    <w:qFormat/>
    <w:rsid w:val="00BF70C4"/>
    <w:rPr>
      <w:i/>
      <w:iCs/>
    </w:rPr>
  </w:style>
  <w:style w:type="character" w:styleId="a4">
    <w:name w:val="Strong"/>
    <w:basedOn w:val="a0"/>
    <w:uiPriority w:val="22"/>
    <w:qFormat/>
    <w:rsid w:val="00BF70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16801">
      <w:bodyDiv w:val="1"/>
      <w:marLeft w:val="0"/>
      <w:marRight w:val="0"/>
      <w:marTop w:val="0"/>
      <w:marBottom w:val="0"/>
      <w:divBdr>
        <w:top w:val="none" w:sz="0" w:space="0" w:color="auto"/>
        <w:left w:val="none" w:sz="0" w:space="0" w:color="auto"/>
        <w:bottom w:val="none" w:sz="0" w:space="0" w:color="auto"/>
        <w:right w:val="none" w:sz="0" w:space="0" w:color="auto"/>
      </w:divBdr>
    </w:div>
    <w:div w:id="1386490035">
      <w:bodyDiv w:val="1"/>
      <w:marLeft w:val="0"/>
      <w:marRight w:val="0"/>
      <w:marTop w:val="0"/>
      <w:marBottom w:val="0"/>
      <w:divBdr>
        <w:top w:val="none" w:sz="0" w:space="0" w:color="auto"/>
        <w:left w:val="none" w:sz="0" w:space="0" w:color="auto"/>
        <w:bottom w:val="none" w:sz="0" w:space="0" w:color="auto"/>
        <w:right w:val="none" w:sz="0" w:space="0" w:color="auto"/>
      </w:divBdr>
      <w:divsChild>
        <w:div w:id="77557234">
          <w:marLeft w:val="-257"/>
          <w:marRight w:val="-257"/>
          <w:marTop w:val="0"/>
          <w:marBottom w:val="0"/>
          <w:divBdr>
            <w:top w:val="none" w:sz="0" w:space="0" w:color="auto"/>
            <w:left w:val="none" w:sz="0" w:space="0" w:color="auto"/>
            <w:bottom w:val="none" w:sz="0" w:space="0" w:color="auto"/>
            <w:right w:val="none" w:sz="0" w:space="0" w:color="auto"/>
          </w:divBdr>
          <w:divsChild>
            <w:div w:id="1848517631">
              <w:marLeft w:val="0"/>
              <w:marRight w:val="0"/>
              <w:marTop w:val="0"/>
              <w:marBottom w:val="0"/>
              <w:divBdr>
                <w:top w:val="none" w:sz="0" w:space="0" w:color="auto"/>
                <w:left w:val="none" w:sz="0" w:space="0" w:color="auto"/>
                <w:bottom w:val="none" w:sz="0" w:space="0" w:color="auto"/>
                <w:right w:val="none" w:sz="0" w:space="0" w:color="auto"/>
              </w:divBdr>
            </w:div>
          </w:divsChild>
        </w:div>
        <w:div w:id="2015645437">
          <w:marLeft w:val="-257"/>
          <w:marRight w:val="-257"/>
          <w:marTop w:val="0"/>
          <w:marBottom w:val="257"/>
          <w:divBdr>
            <w:top w:val="none" w:sz="0" w:space="0" w:color="auto"/>
            <w:left w:val="none" w:sz="0" w:space="0" w:color="auto"/>
            <w:bottom w:val="none" w:sz="0" w:space="0" w:color="auto"/>
            <w:right w:val="none" w:sz="0" w:space="0" w:color="auto"/>
          </w:divBdr>
          <w:divsChild>
            <w:div w:id="105278751">
              <w:marLeft w:val="0"/>
              <w:marRight w:val="0"/>
              <w:marTop w:val="0"/>
              <w:marBottom w:val="0"/>
              <w:divBdr>
                <w:top w:val="none" w:sz="0" w:space="0" w:color="auto"/>
                <w:left w:val="none" w:sz="0" w:space="0" w:color="auto"/>
                <w:bottom w:val="none" w:sz="0" w:space="0" w:color="auto"/>
                <w:right w:val="none" w:sz="0" w:space="0" w:color="auto"/>
              </w:divBdr>
            </w:div>
          </w:divsChild>
        </w:div>
        <w:div w:id="587732601">
          <w:marLeft w:val="-257"/>
          <w:marRight w:val="-257"/>
          <w:marTop w:val="0"/>
          <w:marBottom w:val="257"/>
          <w:divBdr>
            <w:top w:val="none" w:sz="0" w:space="0" w:color="auto"/>
            <w:left w:val="none" w:sz="0" w:space="0" w:color="auto"/>
            <w:bottom w:val="none" w:sz="0" w:space="0" w:color="auto"/>
            <w:right w:val="none" w:sz="0" w:space="0" w:color="auto"/>
          </w:divBdr>
          <w:divsChild>
            <w:div w:id="1503278518">
              <w:marLeft w:val="0"/>
              <w:marRight w:val="0"/>
              <w:marTop w:val="0"/>
              <w:marBottom w:val="0"/>
              <w:divBdr>
                <w:top w:val="none" w:sz="0" w:space="0" w:color="auto"/>
                <w:left w:val="none" w:sz="0" w:space="0" w:color="auto"/>
                <w:bottom w:val="none" w:sz="0" w:space="0" w:color="auto"/>
                <w:right w:val="none" w:sz="0" w:space="0" w:color="auto"/>
              </w:divBdr>
            </w:div>
          </w:divsChild>
        </w:div>
        <w:div w:id="817765192">
          <w:marLeft w:val="-257"/>
          <w:marRight w:val="-257"/>
          <w:marTop w:val="0"/>
          <w:marBottom w:val="257"/>
          <w:divBdr>
            <w:top w:val="none" w:sz="0" w:space="0" w:color="auto"/>
            <w:left w:val="none" w:sz="0" w:space="0" w:color="auto"/>
            <w:bottom w:val="none" w:sz="0" w:space="0" w:color="auto"/>
            <w:right w:val="none" w:sz="0" w:space="0" w:color="auto"/>
          </w:divBdr>
          <w:divsChild>
            <w:div w:id="1073510229">
              <w:marLeft w:val="0"/>
              <w:marRight w:val="0"/>
              <w:marTop w:val="0"/>
              <w:marBottom w:val="0"/>
              <w:divBdr>
                <w:top w:val="none" w:sz="0" w:space="0" w:color="auto"/>
                <w:left w:val="none" w:sz="0" w:space="0" w:color="auto"/>
                <w:bottom w:val="none" w:sz="0" w:space="0" w:color="auto"/>
                <w:right w:val="none" w:sz="0" w:space="0" w:color="auto"/>
              </w:divBdr>
            </w:div>
          </w:divsChild>
        </w:div>
        <w:div w:id="1244216757">
          <w:marLeft w:val="-257"/>
          <w:marRight w:val="-257"/>
          <w:marTop w:val="0"/>
          <w:marBottom w:val="257"/>
          <w:divBdr>
            <w:top w:val="none" w:sz="0" w:space="0" w:color="auto"/>
            <w:left w:val="none" w:sz="0" w:space="0" w:color="auto"/>
            <w:bottom w:val="none" w:sz="0" w:space="0" w:color="auto"/>
            <w:right w:val="none" w:sz="0" w:space="0" w:color="auto"/>
          </w:divBdr>
          <w:divsChild>
            <w:div w:id="890505418">
              <w:marLeft w:val="0"/>
              <w:marRight w:val="0"/>
              <w:marTop w:val="0"/>
              <w:marBottom w:val="0"/>
              <w:divBdr>
                <w:top w:val="none" w:sz="0" w:space="0" w:color="auto"/>
                <w:left w:val="none" w:sz="0" w:space="0" w:color="auto"/>
                <w:bottom w:val="none" w:sz="0" w:space="0" w:color="auto"/>
                <w:right w:val="none" w:sz="0" w:space="0" w:color="auto"/>
              </w:divBdr>
            </w:div>
          </w:divsChild>
        </w:div>
        <w:div w:id="1958559540">
          <w:marLeft w:val="-257"/>
          <w:marRight w:val="-257"/>
          <w:marTop w:val="0"/>
          <w:marBottom w:val="257"/>
          <w:divBdr>
            <w:top w:val="none" w:sz="0" w:space="0" w:color="auto"/>
            <w:left w:val="none" w:sz="0" w:space="0" w:color="auto"/>
            <w:bottom w:val="none" w:sz="0" w:space="0" w:color="auto"/>
            <w:right w:val="none" w:sz="0" w:space="0" w:color="auto"/>
          </w:divBdr>
          <w:divsChild>
            <w:div w:id="1416317617">
              <w:marLeft w:val="0"/>
              <w:marRight w:val="0"/>
              <w:marTop w:val="0"/>
              <w:marBottom w:val="0"/>
              <w:divBdr>
                <w:top w:val="none" w:sz="0" w:space="0" w:color="auto"/>
                <w:left w:val="none" w:sz="0" w:space="0" w:color="auto"/>
                <w:bottom w:val="none" w:sz="0" w:space="0" w:color="auto"/>
                <w:right w:val="none" w:sz="0" w:space="0" w:color="auto"/>
              </w:divBdr>
            </w:div>
          </w:divsChild>
        </w:div>
        <w:div w:id="2036270438">
          <w:marLeft w:val="-257"/>
          <w:marRight w:val="-257"/>
          <w:marTop w:val="0"/>
          <w:marBottom w:val="257"/>
          <w:divBdr>
            <w:top w:val="none" w:sz="0" w:space="0" w:color="auto"/>
            <w:left w:val="none" w:sz="0" w:space="0" w:color="auto"/>
            <w:bottom w:val="none" w:sz="0" w:space="0" w:color="auto"/>
            <w:right w:val="none" w:sz="0" w:space="0" w:color="auto"/>
          </w:divBdr>
          <w:divsChild>
            <w:div w:id="1313561496">
              <w:marLeft w:val="0"/>
              <w:marRight w:val="0"/>
              <w:marTop w:val="0"/>
              <w:marBottom w:val="0"/>
              <w:divBdr>
                <w:top w:val="none" w:sz="0" w:space="0" w:color="auto"/>
                <w:left w:val="none" w:sz="0" w:space="0" w:color="auto"/>
                <w:bottom w:val="none" w:sz="0" w:space="0" w:color="auto"/>
                <w:right w:val="none" w:sz="0" w:space="0" w:color="auto"/>
              </w:divBdr>
            </w:div>
          </w:divsChild>
        </w:div>
        <w:div w:id="1527060243">
          <w:marLeft w:val="-257"/>
          <w:marRight w:val="-257"/>
          <w:marTop w:val="0"/>
          <w:marBottom w:val="257"/>
          <w:divBdr>
            <w:top w:val="none" w:sz="0" w:space="0" w:color="auto"/>
            <w:left w:val="none" w:sz="0" w:space="0" w:color="auto"/>
            <w:bottom w:val="none" w:sz="0" w:space="0" w:color="auto"/>
            <w:right w:val="none" w:sz="0" w:space="0" w:color="auto"/>
          </w:divBdr>
          <w:divsChild>
            <w:div w:id="467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2523</Words>
  <Characters>13625</Characters>
  <Application>Microsoft Office Word</Application>
  <DocSecurity>0</DocSecurity>
  <Lines>113</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ilias PAP</dc:creator>
  <cp:lastModifiedBy>User</cp:lastModifiedBy>
  <cp:revision>2</cp:revision>
  <dcterms:created xsi:type="dcterms:W3CDTF">2022-05-09T20:35:00Z</dcterms:created>
  <dcterms:modified xsi:type="dcterms:W3CDTF">2025-03-25T10:49:00Z</dcterms:modified>
</cp:coreProperties>
</file>